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DB5A" w14:textId="356165FF" w:rsidR="00934435" w:rsidRPr="00C57E66" w:rsidRDefault="00385DD1" w:rsidP="0054720F">
      <w:pPr>
        <w:tabs>
          <w:tab w:val="left" w:pos="7200"/>
        </w:tabs>
        <w:ind w:right="-1109"/>
        <w:rPr>
          <w:szCs w:val="22"/>
        </w:rPr>
      </w:pPr>
      <w:r>
        <w:rPr>
          <w:szCs w:val="22"/>
        </w:rPr>
        <w:object w:dxaOrig="1440" w:dyaOrig="1440" w14:anchorId="2720A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33.3pt;margin-top:64.75pt;width:320.1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6" o:title=""/>
            <w10:wrap type="square" anchory="page"/>
          </v:shape>
          <o:OLEObject Type="Embed" ProgID="Word.Picture.8" ShapeID="_x0000_s2066" DrawAspect="Content" ObjectID="_1699865659" r:id="rId7"/>
        </w:object>
      </w:r>
      <w:r w:rsidR="00934435" w:rsidRPr="00C57E66">
        <w:rPr>
          <w:szCs w:val="22"/>
        </w:rPr>
        <w:t>FIFTY-FIRST REGULAR SESSION</w:t>
      </w:r>
      <w:r w:rsidR="00934435" w:rsidRPr="00C57E66">
        <w:rPr>
          <w:szCs w:val="22"/>
        </w:rPr>
        <w:tab/>
        <w:t>OEA/</w:t>
      </w:r>
      <w:proofErr w:type="spellStart"/>
      <w:r w:rsidR="00934435" w:rsidRPr="00C57E66">
        <w:rPr>
          <w:szCs w:val="22"/>
        </w:rPr>
        <w:t>Ser.P</w:t>
      </w:r>
      <w:proofErr w:type="spellEnd"/>
    </w:p>
    <w:p w14:paraId="305FD281" w14:textId="6C4B9DD8" w:rsidR="00934435" w:rsidRPr="00C57E66" w:rsidRDefault="00934435" w:rsidP="0054720F">
      <w:pPr>
        <w:tabs>
          <w:tab w:val="left" w:pos="7200"/>
        </w:tabs>
        <w:ind w:right="-1109"/>
        <w:rPr>
          <w:szCs w:val="22"/>
        </w:rPr>
      </w:pPr>
      <w:r w:rsidRPr="00C57E66">
        <w:rPr>
          <w:szCs w:val="22"/>
        </w:rPr>
        <w:t>November 10 to 12, 2021</w:t>
      </w:r>
      <w:r w:rsidRPr="00C57E66">
        <w:rPr>
          <w:szCs w:val="22"/>
        </w:rPr>
        <w:tab/>
        <w:t>AG/doc.5744/21</w:t>
      </w:r>
      <w:r w:rsidR="0054720F">
        <w:rPr>
          <w:szCs w:val="22"/>
        </w:rPr>
        <w:t xml:space="preserve"> rev. 1</w:t>
      </w:r>
    </w:p>
    <w:p w14:paraId="671B6B4A" w14:textId="0488D083" w:rsidR="00934435" w:rsidRPr="00C57E66" w:rsidRDefault="00934435" w:rsidP="0054720F">
      <w:pPr>
        <w:tabs>
          <w:tab w:val="left" w:pos="7200"/>
        </w:tabs>
        <w:ind w:right="-1109"/>
        <w:rPr>
          <w:szCs w:val="22"/>
        </w:rPr>
      </w:pPr>
      <w:r w:rsidRPr="00C57E66">
        <w:rPr>
          <w:szCs w:val="22"/>
        </w:rPr>
        <w:t>Guatemala City, Guatemala</w:t>
      </w:r>
      <w:r w:rsidRPr="00C57E66">
        <w:rPr>
          <w:szCs w:val="22"/>
        </w:rPr>
        <w:tab/>
      </w:r>
      <w:r w:rsidR="0054720F">
        <w:rPr>
          <w:szCs w:val="22"/>
        </w:rPr>
        <w:t>23</w:t>
      </w:r>
      <w:r w:rsidRPr="00C57E66">
        <w:rPr>
          <w:szCs w:val="22"/>
        </w:rPr>
        <w:t xml:space="preserve"> November 2021</w:t>
      </w:r>
    </w:p>
    <w:p w14:paraId="21EFDA37" w14:textId="50B5763E" w:rsidR="00934435" w:rsidRPr="00C57E66" w:rsidRDefault="00934435" w:rsidP="0054720F">
      <w:pPr>
        <w:tabs>
          <w:tab w:val="left" w:pos="7200"/>
        </w:tabs>
        <w:ind w:right="-1109"/>
        <w:rPr>
          <w:szCs w:val="22"/>
        </w:rPr>
      </w:pPr>
      <w:r w:rsidRPr="00C57E66">
        <w:rPr>
          <w:szCs w:val="22"/>
        </w:rPr>
        <w:t>VIRTUAL</w:t>
      </w:r>
      <w:r w:rsidRPr="00C57E66">
        <w:rPr>
          <w:szCs w:val="22"/>
        </w:rPr>
        <w:tab/>
        <w:t>Original: Spanish</w:t>
      </w:r>
    </w:p>
    <w:p w14:paraId="09932BC7" w14:textId="77777777" w:rsidR="00934435" w:rsidRPr="00C57E66" w:rsidRDefault="00934435" w:rsidP="0054720F">
      <w:pPr>
        <w:ind w:right="-79"/>
        <w:jc w:val="right"/>
        <w:rPr>
          <w:szCs w:val="22"/>
        </w:rPr>
      </w:pPr>
    </w:p>
    <w:p w14:paraId="5713805F" w14:textId="3E34C5E2" w:rsidR="00A940BB" w:rsidRPr="00C57E66" w:rsidRDefault="00934435" w:rsidP="0054720F">
      <w:pPr>
        <w:tabs>
          <w:tab w:val="left" w:pos="7200"/>
        </w:tabs>
        <w:ind w:right="-299"/>
        <w:rPr>
          <w:szCs w:val="22"/>
          <w:u w:val="single"/>
        </w:rPr>
      </w:pPr>
      <w:r w:rsidRPr="00C57E66">
        <w:rPr>
          <w:szCs w:val="22"/>
        </w:rPr>
        <w:tab/>
      </w:r>
      <w:r w:rsidR="00A940BB" w:rsidRPr="00C57E66">
        <w:rPr>
          <w:szCs w:val="22"/>
          <w:u w:val="single"/>
        </w:rPr>
        <w:t>Item 4 on the agenda</w:t>
      </w:r>
    </w:p>
    <w:p w14:paraId="22309F0B" w14:textId="77777777" w:rsidR="00A940BB" w:rsidRPr="00C57E66" w:rsidRDefault="00A940BB" w:rsidP="0054720F">
      <w:pPr>
        <w:rPr>
          <w:szCs w:val="22"/>
        </w:rPr>
      </w:pPr>
    </w:p>
    <w:p w14:paraId="740906DA" w14:textId="77777777" w:rsidR="00A940BB" w:rsidRPr="00C57E66" w:rsidRDefault="00A940BB" w:rsidP="0054720F">
      <w:pPr>
        <w:rPr>
          <w:szCs w:val="22"/>
        </w:rPr>
      </w:pPr>
    </w:p>
    <w:p w14:paraId="1958D2E2" w14:textId="77777777" w:rsidR="00A940BB" w:rsidRPr="00C57E66" w:rsidRDefault="00A940BB" w:rsidP="0054720F">
      <w:pPr>
        <w:rPr>
          <w:szCs w:val="22"/>
        </w:rPr>
      </w:pPr>
    </w:p>
    <w:p w14:paraId="7F9EDAF9" w14:textId="77777777" w:rsidR="00A940BB" w:rsidRPr="00137053" w:rsidRDefault="00A940BB" w:rsidP="0054720F">
      <w:pPr>
        <w:jc w:val="center"/>
      </w:pPr>
      <w:r w:rsidRPr="00C57E66">
        <w:t>REPORT OF THE SECRETARY GENERAL ON</w:t>
      </w:r>
      <w:r w:rsidR="0058510C" w:rsidRPr="00C57E66">
        <w:br/>
      </w:r>
      <w:r w:rsidRPr="00C57E66">
        <w:t>THE PRESENTATION OF CREDENTIALS OF THE DELEGATIONS</w:t>
      </w:r>
      <w:r w:rsidRPr="00137053">
        <w:t xml:space="preserve"> </w:t>
      </w:r>
      <w:r w:rsidR="000E6136">
        <w:br/>
      </w:r>
      <w:r w:rsidRPr="00137053">
        <w:t xml:space="preserve">TAKING PART IN THE </w:t>
      </w:r>
      <w:r w:rsidR="00194C29">
        <w:t>FIFTIE</w:t>
      </w:r>
      <w:r w:rsidR="00864F9D">
        <w:rPr>
          <w:szCs w:val="22"/>
        </w:rPr>
        <w:t>TH</w:t>
      </w:r>
      <w:r w:rsidRPr="00137053">
        <w:t xml:space="preserve"> REGULAR SESSION </w:t>
      </w:r>
    </w:p>
    <w:p w14:paraId="0C438F7A" w14:textId="69A6DEB2" w:rsidR="00A940BB" w:rsidRPr="00137053" w:rsidRDefault="00A940BB" w:rsidP="0054720F">
      <w:pPr>
        <w:jc w:val="center"/>
        <w:rPr>
          <w:szCs w:val="22"/>
        </w:rPr>
      </w:pPr>
      <w:r w:rsidRPr="00137053">
        <w:t>OF THE GENERAL ASSEMBLY</w:t>
      </w:r>
      <w:r w:rsidR="0054720F" w:rsidRPr="00137053">
        <w:rPr>
          <w:rStyle w:val="FootnoteReference"/>
          <w:u w:val="single"/>
          <w:vertAlign w:val="superscript"/>
        </w:rPr>
        <w:footnoteReference w:id="1"/>
      </w:r>
      <w:r w:rsidR="0054720F" w:rsidRPr="00137053">
        <w:rPr>
          <w:vertAlign w:val="superscript"/>
        </w:rPr>
        <w:t>/</w:t>
      </w:r>
      <w:r w:rsidR="0054720F" w:rsidRPr="00137053">
        <w:rPr>
          <w:rStyle w:val="FootnoteReference"/>
          <w:u w:val="single"/>
          <w:vertAlign w:val="superscript"/>
        </w:rPr>
        <w:footnoteReference w:id="2"/>
      </w:r>
      <w:r w:rsidR="0054720F" w:rsidRPr="00137053">
        <w:rPr>
          <w:vertAlign w:val="superscript"/>
        </w:rPr>
        <w:t>/</w:t>
      </w:r>
      <w:r w:rsidR="0054720F" w:rsidRPr="00137053">
        <w:rPr>
          <w:rStyle w:val="FootnoteReference"/>
          <w:u w:val="single"/>
          <w:vertAlign w:val="superscript"/>
        </w:rPr>
        <w:footnoteReference w:id="3"/>
      </w:r>
      <w:r w:rsidR="0054720F" w:rsidRPr="00137053">
        <w:rPr>
          <w:vertAlign w:val="superscript"/>
        </w:rPr>
        <w:t>/</w:t>
      </w:r>
      <w:r w:rsidR="0054720F" w:rsidRPr="00137053">
        <w:rPr>
          <w:rStyle w:val="FootnoteReference"/>
          <w:u w:val="single"/>
          <w:vertAlign w:val="superscript"/>
        </w:rPr>
        <w:footnoteReference w:id="4"/>
      </w:r>
      <w:r w:rsidR="0054720F" w:rsidRPr="00137053">
        <w:rPr>
          <w:vertAlign w:val="superscript"/>
        </w:rPr>
        <w:t>/</w:t>
      </w:r>
      <w:r w:rsidR="0054720F" w:rsidRPr="00137053">
        <w:rPr>
          <w:rStyle w:val="FootnoteReference"/>
          <w:u w:val="single"/>
          <w:vertAlign w:val="superscript"/>
        </w:rPr>
        <w:footnoteReference w:id="5"/>
      </w:r>
      <w:r w:rsidR="0054720F" w:rsidRPr="00137053">
        <w:rPr>
          <w:vertAlign w:val="superscript"/>
        </w:rPr>
        <w:t>/</w:t>
      </w:r>
      <w:r w:rsidR="0054720F" w:rsidRPr="00137053">
        <w:rPr>
          <w:rStyle w:val="FootnoteReference"/>
          <w:u w:val="single"/>
          <w:vertAlign w:val="superscript"/>
        </w:rPr>
        <w:footnoteReference w:id="6"/>
      </w:r>
      <w:r w:rsidR="0054720F" w:rsidRPr="00137053">
        <w:rPr>
          <w:vertAlign w:val="superscript"/>
        </w:rPr>
        <w:t>/</w:t>
      </w:r>
      <w:r w:rsidR="0054720F" w:rsidRPr="00137053">
        <w:rPr>
          <w:rStyle w:val="FootnoteReference"/>
          <w:u w:val="single"/>
          <w:vertAlign w:val="superscript"/>
        </w:rPr>
        <w:footnoteReference w:id="7"/>
      </w:r>
      <w:r w:rsidR="0054720F" w:rsidRPr="00137053">
        <w:rPr>
          <w:vertAlign w:val="superscript"/>
        </w:rPr>
        <w:t>/</w:t>
      </w:r>
      <w:r w:rsidR="0054720F" w:rsidRPr="00137053">
        <w:rPr>
          <w:rStyle w:val="FootnoteReference"/>
          <w:u w:val="single"/>
          <w:vertAlign w:val="superscript"/>
        </w:rPr>
        <w:footnoteReference w:id="8"/>
      </w:r>
      <w:r w:rsidR="0054720F" w:rsidRPr="00137053">
        <w:rPr>
          <w:vertAlign w:val="superscript"/>
        </w:rPr>
        <w:t>/</w:t>
      </w:r>
      <w:r w:rsidR="0054720F" w:rsidRPr="00137053">
        <w:rPr>
          <w:rStyle w:val="FootnoteReference"/>
          <w:u w:val="single"/>
          <w:vertAlign w:val="superscript"/>
        </w:rPr>
        <w:footnoteReference w:id="9"/>
      </w:r>
      <w:r w:rsidR="0054720F" w:rsidRPr="00137053">
        <w:rPr>
          <w:vertAlign w:val="superscript"/>
        </w:rPr>
        <w:t>/</w:t>
      </w:r>
      <w:r w:rsidR="00725039" w:rsidRPr="00137053">
        <w:rPr>
          <w:rStyle w:val="FootnoteReference"/>
          <w:u w:val="single"/>
          <w:vertAlign w:val="superscript"/>
        </w:rPr>
        <w:footnoteReference w:id="10"/>
      </w:r>
      <w:r w:rsidR="00725039" w:rsidRPr="00137053">
        <w:rPr>
          <w:vertAlign w:val="superscript"/>
        </w:rPr>
        <w:t>/</w:t>
      </w:r>
    </w:p>
    <w:p w14:paraId="16E3E91B" w14:textId="74544751" w:rsidR="00A940BB" w:rsidRDefault="00A940BB" w:rsidP="0054720F">
      <w:pPr>
        <w:jc w:val="both"/>
        <w:rPr>
          <w:szCs w:val="22"/>
        </w:rPr>
      </w:pPr>
    </w:p>
    <w:p w14:paraId="6040DFF1" w14:textId="77777777" w:rsidR="00385DD1" w:rsidRPr="00137053" w:rsidRDefault="00385DD1" w:rsidP="0054720F">
      <w:pPr>
        <w:jc w:val="both"/>
        <w:rPr>
          <w:szCs w:val="22"/>
        </w:rPr>
      </w:pPr>
    </w:p>
    <w:p w14:paraId="4072639C" w14:textId="77777777" w:rsidR="00A940BB" w:rsidRPr="00137053" w:rsidRDefault="00A940BB" w:rsidP="0054720F">
      <w:pPr>
        <w:jc w:val="both"/>
        <w:rPr>
          <w:szCs w:val="22"/>
        </w:rPr>
      </w:pPr>
      <w:r w:rsidRPr="00137053">
        <w:tab/>
        <w:t xml:space="preserve">Pursuant to Article 27 of the Rules of Procedure of the General Assembly, I hereby inform the plenary that all the credentials presented by the delegations of the member states and permanent observers </w:t>
      </w:r>
      <w:r w:rsidR="000731AC">
        <w:t>have been received and registered</w:t>
      </w:r>
      <w:r w:rsidRPr="00137053">
        <w:t>.</w:t>
      </w:r>
    </w:p>
    <w:p w14:paraId="7F64375A" w14:textId="77777777" w:rsidR="00A940BB" w:rsidRPr="00137053" w:rsidRDefault="00A940BB" w:rsidP="0054720F">
      <w:pPr>
        <w:jc w:val="both"/>
        <w:rPr>
          <w:szCs w:val="22"/>
        </w:rPr>
      </w:pPr>
    </w:p>
    <w:p w14:paraId="42AC762D" w14:textId="77777777" w:rsidR="00A940BB" w:rsidRPr="00A940BB" w:rsidRDefault="00A940BB" w:rsidP="0054720F">
      <w:pPr>
        <w:pStyle w:val="BodyText"/>
        <w:spacing w:line="240" w:lineRule="auto"/>
        <w:rPr>
          <w:szCs w:val="22"/>
          <w:lang w:val="en-US"/>
        </w:rPr>
      </w:pPr>
      <w:r w:rsidRPr="00A940BB">
        <w:rPr>
          <w:lang w:val="en-US"/>
        </w:rPr>
        <w:tab/>
        <w:t xml:space="preserve">Also </w:t>
      </w:r>
      <w:r w:rsidR="000731AC">
        <w:rPr>
          <w:lang w:val="en-US"/>
        </w:rPr>
        <w:t xml:space="preserve">registered </w:t>
      </w:r>
      <w:r w:rsidRPr="00A940BB">
        <w:rPr>
          <w:lang w:val="en-US"/>
        </w:rPr>
        <w:t>in due form were the credentials of the representatives of the organs, agencies, and entities of the inter-American system, regional and subregional governmental inter-American entities and agencies, United Nations specialized agencies, other international organizations, and special guests.</w:t>
      </w:r>
    </w:p>
    <w:p w14:paraId="6D3E6733" w14:textId="77777777" w:rsidR="00A940BB" w:rsidRPr="00A940BB" w:rsidRDefault="00A940BB" w:rsidP="0054720F">
      <w:pPr>
        <w:pStyle w:val="BodyText"/>
        <w:spacing w:line="240" w:lineRule="auto"/>
        <w:rPr>
          <w:szCs w:val="22"/>
          <w:lang w:val="en-US"/>
        </w:rPr>
      </w:pPr>
    </w:p>
    <w:p w14:paraId="0E09FAFA" w14:textId="7604B97E" w:rsidR="00725039" w:rsidRDefault="00A940BB" w:rsidP="0054720F">
      <w:pPr>
        <w:jc w:val="both"/>
        <w:rPr>
          <w:vertAlign w:val="superscript"/>
        </w:rPr>
      </w:pPr>
      <w:r w:rsidRPr="00137053">
        <w:tab/>
        <w:t>The names of all the participants in this regular session of the General Assembly are shown in the List of Participants.</w:t>
      </w:r>
      <w:r w:rsidRPr="00137053">
        <w:rPr>
          <w:rStyle w:val="FootnoteReference"/>
          <w:u w:val="single"/>
          <w:vertAlign w:val="superscript"/>
        </w:rPr>
        <w:footnoteReference w:id="11"/>
      </w:r>
      <w:r w:rsidRPr="00137053">
        <w:rPr>
          <w:vertAlign w:val="superscript"/>
        </w:rPr>
        <w:t>/</w:t>
      </w:r>
    </w:p>
    <w:p w14:paraId="37B07297" w14:textId="6E172037" w:rsidR="00725039" w:rsidRDefault="00725039">
      <w:pPr>
        <w:rPr>
          <w:vertAlign w:val="superscript"/>
        </w:rPr>
      </w:pPr>
      <w:r>
        <w:rPr>
          <w:vertAlign w:val="superscript"/>
        </w:rPr>
        <w:br w:type="page"/>
      </w:r>
    </w:p>
    <w:p w14:paraId="6CF63C91" w14:textId="7B809079" w:rsidR="00A940BB" w:rsidRDefault="00725039" w:rsidP="00725039">
      <w:pPr>
        <w:jc w:val="center"/>
        <w:rPr>
          <w:sz w:val="20"/>
        </w:rPr>
      </w:pPr>
      <w:r w:rsidRPr="00725039">
        <w:rPr>
          <w:sz w:val="20"/>
        </w:rPr>
        <w:lastRenderedPageBreak/>
        <w:t>FOOTNOTES</w:t>
      </w:r>
    </w:p>
    <w:p w14:paraId="7875D595" w14:textId="77EE0060" w:rsidR="00725039" w:rsidRDefault="00725039" w:rsidP="00725039">
      <w:pPr>
        <w:rPr>
          <w:sz w:val="20"/>
        </w:rPr>
      </w:pPr>
    </w:p>
    <w:p w14:paraId="009158AB" w14:textId="43DCB104" w:rsidR="00725039" w:rsidRDefault="00725039" w:rsidP="00725039">
      <w:pPr>
        <w:rPr>
          <w:sz w:val="20"/>
        </w:rPr>
      </w:pPr>
    </w:p>
    <w:p w14:paraId="3D043B26" w14:textId="77777777" w:rsidR="00725039" w:rsidRPr="00381DBB" w:rsidRDefault="00725039" w:rsidP="00725039">
      <w:pPr>
        <w:pStyle w:val="FootnoteText"/>
        <w:tabs>
          <w:tab w:val="clear" w:pos="360"/>
        </w:tabs>
        <w:ind w:left="0" w:firstLine="720"/>
        <w:rPr>
          <w:rFonts w:hAnsi="Times New Roman"/>
          <w:sz w:val="20"/>
          <w:lang w:val="en-US"/>
        </w:rPr>
      </w:pPr>
      <w:r w:rsidRPr="00C240D7">
        <w:rPr>
          <w:sz w:val="20"/>
          <w:lang w:val="en-US"/>
        </w:rPr>
        <w:tab/>
      </w:r>
      <w:r w:rsidRPr="00725039">
        <w:rPr>
          <w:sz w:val="20"/>
          <w:lang w:val="en-US"/>
        </w:rPr>
        <w:t>1.</w:t>
      </w:r>
      <w:r w:rsidRPr="00725039">
        <w:rPr>
          <w:sz w:val="20"/>
          <w:lang w:val="en-US"/>
        </w:rPr>
        <w:tab/>
        <w:t xml:space="preserve">… </w:t>
      </w:r>
      <w:r w:rsidRPr="00381DBB">
        <w:rPr>
          <w:sz w:val="20"/>
          <w:lang w:val="en-US"/>
        </w:rPr>
        <w:t xml:space="preserve">… </w:t>
      </w:r>
      <w:r w:rsidRPr="00381DBB">
        <w:rPr>
          <w:rFonts w:hAnsi="Times New Roman"/>
          <w:sz w:val="20"/>
          <w:lang w:val="en-US"/>
        </w:rPr>
        <w:t>session of the General Assembly of the Organization of American States (OAS), which result in acts contrary to international law.</w:t>
      </w:r>
    </w:p>
    <w:p w14:paraId="665DEC08" w14:textId="77777777" w:rsidR="00725039" w:rsidRPr="00381DBB" w:rsidRDefault="00725039" w:rsidP="00725039">
      <w:pPr>
        <w:pStyle w:val="FootnoteText"/>
        <w:tabs>
          <w:tab w:val="clear" w:pos="360"/>
        </w:tabs>
        <w:ind w:left="0" w:firstLine="720"/>
        <w:rPr>
          <w:rFonts w:hAnsi="Times New Roman"/>
          <w:sz w:val="20"/>
          <w:lang w:val="en-US"/>
        </w:rPr>
      </w:pPr>
    </w:p>
    <w:p w14:paraId="3C34D6D5" w14:textId="1A4E8657" w:rsidR="00725039" w:rsidRPr="00381DBB" w:rsidRDefault="00725039" w:rsidP="00725039">
      <w:pPr>
        <w:pStyle w:val="FootnoteText"/>
        <w:tabs>
          <w:tab w:val="clear" w:pos="360"/>
        </w:tabs>
        <w:ind w:left="0" w:firstLine="720"/>
        <w:rPr>
          <w:rFonts w:hAnsi="Times New Roman"/>
          <w:sz w:val="20"/>
          <w:lang w:val="en-US"/>
        </w:rPr>
      </w:pPr>
      <w:r w:rsidRPr="00381DBB">
        <w:rPr>
          <w:rFonts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522280BF" w14:textId="77777777" w:rsidR="00725039" w:rsidRPr="00381DBB" w:rsidRDefault="00725039" w:rsidP="00725039">
      <w:pPr>
        <w:pStyle w:val="FootnoteText"/>
        <w:tabs>
          <w:tab w:val="clear" w:pos="360"/>
        </w:tabs>
        <w:ind w:left="0" w:firstLine="720"/>
        <w:rPr>
          <w:rFonts w:hAnsi="Times New Roman"/>
          <w:sz w:val="20"/>
          <w:lang w:val="en-US"/>
        </w:rPr>
      </w:pPr>
    </w:p>
    <w:p w14:paraId="10B1F149" w14:textId="7584BCE9" w:rsidR="00725039" w:rsidRPr="00381DBB" w:rsidRDefault="00725039" w:rsidP="00725039">
      <w:pPr>
        <w:pStyle w:val="FootnoteText"/>
        <w:tabs>
          <w:tab w:val="clear" w:pos="360"/>
        </w:tabs>
        <w:ind w:left="0" w:firstLine="720"/>
        <w:rPr>
          <w:rFonts w:hAnsi="Times New Roman"/>
          <w:sz w:val="20"/>
          <w:lang w:val="en-US"/>
        </w:rPr>
      </w:pPr>
      <w:r w:rsidRPr="00381DBB">
        <w:rPr>
          <w:rFonts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5824574" w14:textId="26001E40" w:rsidR="00725039" w:rsidRPr="00381DBB" w:rsidRDefault="00725039" w:rsidP="00725039">
      <w:pPr>
        <w:pStyle w:val="FootnoteText"/>
        <w:tabs>
          <w:tab w:val="clear" w:pos="360"/>
        </w:tabs>
        <w:ind w:left="0" w:firstLine="720"/>
        <w:rPr>
          <w:rFonts w:hAnsi="Times New Roman"/>
          <w:sz w:val="20"/>
          <w:lang w:val="en-US"/>
        </w:rPr>
      </w:pPr>
    </w:p>
    <w:p w14:paraId="41AF3501" w14:textId="07E11878" w:rsidR="00725039" w:rsidRPr="00381DBB" w:rsidRDefault="00725039" w:rsidP="00725039">
      <w:pPr>
        <w:pStyle w:val="FootnoteText"/>
        <w:tabs>
          <w:tab w:val="clear" w:pos="360"/>
        </w:tabs>
        <w:ind w:left="0" w:firstLine="720"/>
        <w:rPr>
          <w:rFonts w:hAnsi="Times New Roman"/>
          <w:sz w:val="20"/>
          <w:lang w:val="en-US"/>
        </w:rPr>
      </w:pPr>
      <w:r w:rsidRPr="00381DBB">
        <w:rPr>
          <w:rFonts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7991343D" w14:textId="77777777" w:rsidR="00725039" w:rsidRPr="00381DBB" w:rsidRDefault="00725039" w:rsidP="00725039">
      <w:pPr>
        <w:pStyle w:val="FootnoteText"/>
        <w:tabs>
          <w:tab w:val="clear" w:pos="360"/>
        </w:tabs>
        <w:ind w:left="0" w:firstLine="720"/>
        <w:rPr>
          <w:rFonts w:hAnsi="Times New Roman"/>
          <w:sz w:val="20"/>
          <w:lang w:val="en-US"/>
        </w:rPr>
      </w:pPr>
    </w:p>
    <w:p w14:paraId="528DEFEF" w14:textId="77777777" w:rsidR="00725039" w:rsidRPr="00381DBB" w:rsidRDefault="00725039" w:rsidP="00725039">
      <w:pPr>
        <w:pStyle w:val="FootnoteText"/>
        <w:tabs>
          <w:tab w:val="clear" w:pos="360"/>
        </w:tabs>
        <w:ind w:left="0" w:firstLine="720"/>
        <w:rPr>
          <w:rFonts w:hAnsi="Times New Roman"/>
          <w:sz w:val="20"/>
          <w:lang w:val="en-US"/>
        </w:rPr>
      </w:pPr>
      <w:r w:rsidRPr="00381DBB">
        <w:rPr>
          <w:rFonts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A3A93B2" w14:textId="77777777" w:rsidR="00725039" w:rsidRPr="00381DBB" w:rsidRDefault="00725039" w:rsidP="00725039">
      <w:pPr>
        <w:pStyle w:val="FootnoteText"/>
        <w:tabs>
          <w:tab w:val="clear" w:pos="360"/>
        </w:tabs>
        <w:ind w:left="0" w:firstLine="720"/>
        <w:rPr>
          <w:rFonts w:hAnsi="Times New Roman"/>
          <w:sz w:val="20"/>
          <w:lang w:val="en-US"/>
        </w:rPr>
      </w:pPr>
    </w:p>
    <w:p w14:paraId="2440CE69" w14:textId="77777777" w:rsidR="00725039" w:rsidRPr="00381DBB" w:rsidRDefault="00725039" w:rsidP="00725039">
      <w:pPr>
        <w:pStyle w:val="FootnoteText"/>
        <w:tabs>
          <w:tab w:val="clear" w:pos="360"/>
        </w:tabs>
        <w:ind w:left="0" w:firstLine="720"/>
        <w:rPr>
          <w:rFonts w:hAnsi="Times New Roman"/>
          <w:sz w:val="20"/>
          <w:lang w:val="en-US"/>
        </w:rPr>
      </w:pPr>
      <w:r w:rsidRPr="00381DBB">
        <w:rPr>
          <w:rFonts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653B5534" w14:textId="77777777" w:rsidR="00725039" w:rsidRPr="00381DBB" w:rsidRDefault="00725039" w:rsidP="00725039">
      <w:pPr>
        <w:pStyle w:val="FootnoteText"/>
        <w:tabs>
          <w:tab w:val="clear" w:pos="360"/>
        </w:tabs>
        <w:ind w:left="0" w:firstLine="720"/>
        <w:rPr>
          <w:rFonts w:hAnsi="Times New Roman"/>
          <w:sz w:val="20"/>
          <w:lang w:val="en-US"/>
        </w:rPr>
      </w:pPr>
    </w:p>
    <w:p w14:paraId="30409B89" w14:textId="1A72EAF9" w:rsidR="00725039" w:rsidRDefault="00725039" w:rsidP="00725039">
      <w:pPr>
        <w:pStyle w:val="FootnoteText"/>
        <w:tabs>
          <w:tab w:val="clear" w:pos="360"/>
        </w:tabs>
        <w:ind w:left="0" w:firstLine="720"/>
        <w:rPr>
          <w:sz w:val="20"/>
          <w:lang w:val="en-US"/>
        </w:rPr>
      </w:pPr>
      <w:r w:rsidRPr="00381DBB">
        <w:rPr>
          <w:rFonts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r w:rsidRPr="00381DBB">
        <w:rPr>
          <w:sz w:val="20"/>
          <w:lang w:val="en-US"/>
        </w:rPr>
        <w:t>.</w:t>
      </w:r>
    </w:p>
    <w:p w14:paraId="45AD00FD" w14:textId="190BBC09" w:rsidR="00BD0E88" w:rsidRDefault="00BD0E88" w:rsidP="00725039">
      <w:pPr>
        <w:pStyle w:val="FootnoteText"/>
        <w:tabs>
          <w:tab w:val="clear" w:pos="360"/>
        </w:tabs>
        <w:ind w:left="0" w:firstLine="720"/>
        <w:rPr>
          <w:sz w:val="20"/>
          <w:lang w:val="en-US"/>
        </w:rPr>
      </w:pPr>
    </w:p>
    <w:p w14:paraId="41D973BF" w14:textId="77777777" w:rsidR="00BD0E88" w:rsidRPr="00BD0E88" w:rsidRDefault="00BD0E88" w:rsidP="00BD0E88">
      <w:pPr>
        <w:pStyle w:val="FootnoteText"/>
        <w:tabs>
          <w:tab w:val="clear" w:pos="360"/>
        </w:tabs>
        <w:ind w:left="0" w:firstLine="720"/>
        <w:rPr>
          <w:rFonts w:ascii="Times New Roman" w:hAnsi="Times New Roman"/>
          <w:sz w:val="20"/>
          <w:lang w:val="en-US"/>
        </w:rPr>
      </w:pPr>
      <w:r>
        <w:rPr>
          <w:sz w:val="20"/>
          <w:lang w:val="en-US"/>
        </w:rPr>
        <w:t>2.</w:t>
      </w:r>
      <w:r>
        <w:rPr>
          <w:sz w:val="20"/>
          <w:lang w:val="en-US"/>
        </w:rPr>
        <w:tab/>
        <w:t xml:space="preserve">… </w:t>
      </w:r>
      <w:r w:rsidRPr="00BD0E88">
        <w:rPr>
          <w:rFonts w:hAnsi="Times New Roman"/>
          <w:sz w:val="20"/>
          <w:lang w:val="en-US"/>
        </w:rPr>
        <w:t>international</w:t>
      </w:r>
      <w:r w:rsidRPr="00BD0E88">
        <w:rPr>
          <w:rFonts w:ascii="Times New Roman" w:hAnsi="Times New Roman"/>
          <w:sz w:val="20"/>
          <w:lang w:val="en-US"/>
        </w:rPr>
        <w:t xml:space="preserve"> law and the principle of regional integration. In 2017, the Bolivarian Republic of Venezuela, in the exercise of its sovereign right, denounced the Charter of the Organization of American States, which, under article 143, ceases to remain in effect two years after it is denounced in respect to the state denouncing it, which ceases to be part of the Organization.</w:t>
      </w:r>
    </w:p>
    <w:p w14:paraId="7FD2981F" w14:textId="77777777" w:rsidR="00BD0E88" w:rsidRDefault="00BD0E88" w:rsidP="00BD0E88">
      <w:pPr>
        <w:pStyle w:val="FootnoteText"/>
        <w:tabs>
          <w:tab w:val="clear" w:pos="360"/>
        </w:tabs>
        <w:ind w:left="0" w:firstLine="720"/>
        <w:rPr>
          <w:rFonts w:ascii="Times New Roman" w:hAnsi="Times New Roman"/>
          <w:sz w:val="20"/>
          <w:lang w:val="en-US"/>
        </w:rPr>
      </w:pPr>
    </w:p>
    <w:p w14:paraId="3E5C34A3" w14:textId="77777777" w:rsidR="00BD0E88" w:rsidRDefault="00BD0E88" w:rsidP="00BD0E88">
      <w:pPr>
        <w:pStyle w:val="FootnoteText"/>
        <w:tabs>
          <w:tab w:val="clear" w:pos="360"/>
        </w:tabs>
        <w:ind w:left="0" w:firstLine="720"/>
        <w:rPr>
          <w:rFonts w:ascii="Times New Roman" w:hAnsi="Times New Roman"/>
          <w:sz w:val="20"/>
          <w:lang w:val="en-US"/>
        </w:rPr>
      </w:pPr>
      <w:proofErr w:type="gramStart"/>
      <w:r w:rsidRPr="00BD0E88">
        <w:rPr>
          <w:rFonts w:ascii="Times New Roman" w:hAnsi="Times New Roman"/>
          <w:sz w:val="20"/>
          <w:lang w:val="en-US"/>
        </w:rPr>
        <w:t>Since</w:t>
      </w:r>
      <w:proofErr w:type="gramEnd"/>
      <w:r w:rsidRPr="00BD0E88">
        <w:rPr>
          <w:rFonts w:ascii="Times New Roman" w:hAnsi="Times New Roman"/>
          <w:sz w:val="20"/>
          <w:lang w:val="en-US"/>
        </w:rPr>
        <w:t xml:space="preserve"> four years have passed since the Bolivarian Republic of Venezuela denounced the Charter, there is no room for recognizing any delegation of that State. This action by the General Secretariat undermines the legality of acts by the Organization of American States and openly violates the sovereignty of states. For that reason, the Plurinational State of Bolivia observes and does not accept the credentials of a delegation allegedly representing the Bolivarian Republic of Venezuela.</w:t>
      </w:r>
    </w:p>
    <w:p w14:paraId="5650F9B8" w14:textId="77777777" w:rsidR="00BD0E88" w:rsidRDefault="00BD0E88" w:rsidP="00BD0E88">
      <w:pPr>
        <w:pStyle w:val="FootnoteText"/>
        <w:tabs>
          <w:tab w:val="clear" w:pos="360"/>
        </w:tabs>
        <w:ind w:left="0" w:firstLine="720"/>
        <w:rPr>
          <w:rFonts w:ascii="Times New Roman" w:hAnsi="Times New Roman"/>
          <w:sz w:val="20"/>
          <w:lang w:val="en-US"/>
        </w:rPr>
      </w:pPr>
    </w:p>
    <w:p w14:paraId="6CA25E52" w14:textId="77777777" w:rsidR="00BD0E88" w:rsidRDefault="00BD0E88" w:rsidP="00BD0E88">
      <w:pPr>
        <w:pStyle w:val="FootnoteText"/>
        <w:tabs>
          <w:tab w:val="clear" w:pos="360"/>
        </w:tabs>
        <w:ind w:left="0" w:firstLine="720"/>
        <w:rPr>
          <w:rFonts w:ascii="Times New Roman" w:hAnsi="Times New Roman"/>
          <w:sz w:val="20"/>
          <w:lang w:val="en-US"/>
        </w:rPr>
      </w:pPr>
      <w:r>
        <w:rPr>
          <w:rFonts w:ascii="Times New Roman" w:hAnsi="Times New Roman"/>
          <w:sz w:val="20"/>
          <w:lang w:val="en-US"/>
        </w:rPr>
        <w:t>3.</w:t>
      </w:r>
      <w:r>
        <w:rPr>
          <w:rFonts w:ascii="Times New Roman" w:hAnsi="Times New Roman"/>
          <w:sz w:val="20"/>
          <w:lang w:val="en-US"/>
        </w:rPr>
        <w:tab/>
        <w:t xml:space="preserve">… </w:t>
      </w:r>
      <w:r w:rsidRPr="00BD0E88">
        <w:rPr>
          <w:rFonts w:ascii="Times New Roman" w:hAnsi="Times New Roman"/>
          <w:sz w:val="20"/>
          <w:lang w:val="en-US"/>
        </w:rPr>
        <w:t>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7E3A5620" w14:textId="77777777" w:rsidR="00BD0E88" w:rsidRDefault="00BD0E88" w:rsidP="00BD0E88">
      <w:pPr>
        <w:pStyle w:val="FootnoteText"/>
        <w:tabs>
          <w:tab w:val="clear" w:pos="360"/>
        </w:tabs>
        <w:ind w:left="0" w:firstLine="720"/>
        <w:rPr>
          <w:rFonts w:ascii="Times New Roman" w:hAnsi="Times New Roman"/>
          <w:sz w:val="20"/>
          <w:lang w:val="en-US"/>
        </w:rPr>
      </w:pPr>
    </w:p>
    <w:p w14:paraId="04C22B35" w14:textId="1F06FD2B" w:rsidR="00BD0E88" w:rsidRDefault="00BD0E88" w:rsidP="00BD0E88">
      <w:pPr>
        <w:pStyle w:val="FootnoteText"/>
        <w:tabs>
          <w:tab w:val="clear" w:pos="360"/>
        </w:tabs>
        <w:ind w:left="0" w:firstLine="720"/>
        <w:rPr>
          <w:rFonts w:ascii="Times New Roman" w:hAnsi="Times New Roman"/>
          <w:sz w:val="20"/>
          <w:lang w:val="en-US"/>
        </w:rPr>
      </w:pPr>
      <w:r w:rsidRPr="00BD0E88">
        <w:rPr>
          <w:rFonts w:ascii="Times New Roman" w:hAnsi="Times New Roman"/>
          <w:sz w:val="20"/>
          <w:lang w:val="en-US"/>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6A2B11B1" w14:textId="1152A08D" w:rsidR="00BD0E88" w:rsidRDefault="00BD0E88" w:rsidP="00BD0E88">
      <w:pPr>
        <w:pStyle w:val="FootnoteText"/>
        <w:tabs>
          <w:tab w:val="clear" w:pos="360"/>
        </w:tabs>
        <w:ind w:left="0" w:firstLine="720"/>
        <w:rPr>
          <w:rFonts w:ascii="Times New Roman" w:hAnsi="Times New Roman"/>
          <w:sz w:val="20"/>
          <w:lang w:val="en-US"/>
        </w:rPr>
      </w:pPr>
    </w:p>
    <w:p w14:paraId="29E5EE42" w14:textId="28083AE5" w:rsidR="00BD0E88" w:rsidRPr="00BD0E88" w:rsidRDefault="00BD0E88" w:rsidP="00BD0E88">
      <w:pPr>
        <w:pStyle w:val="FootnoteText"/>
        <w:tabs>
          <w:tab w:val="clear" w:pos="360"/>
        </w:tabs>
        <w:ind w:left="0" w:firstLine="720"/>
        <w:rPr>
          <w:rFonts w:ascii="Times New Roman" w:hAnsi="Times New Roman"/>
          <w:sz w:val="20"/>
          <w:lang w:val="en-US"/>
        </w:rPr>
      </w:pPr>
      <w:r>
        <w:rPr>
          <w:rFonts w:ascii="Times New Roman" w:hAnsi="Times New Roman"/>
          <w:sz w:val="20"/>
          <w:lang w:val="en-US"/>
        </w:rPr>
        <w:t>4.</w:t>
      </w:r>
      <w:r>
        <w:rPr>
          <w:rFonts w:ascii="Times New Roman" w:hAnsi="Times New Roman"/>
          <w:sz w:val="20"/>
          <w:lang w:val="en-US"/>
        </w:rPr>
        <w:tab/>
        <w:t xml:space="preserve">… </w:t>
      </w:r>
      <w:r w:rsidRPr="00BD0E88">
        <w:rPr>
          <w:rFonts w:ascii="Times New Roman" w:hAnsi="Times New Roman"/>
          <w:sz w:val="20"/>
          <w:lang w:val="en-US"/>
        </w:rPr>
        <w:t>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0DD19CC8" w14:textId="399BA2F9" w:rsidR="00725039" w:rsidRPr="00725039" w:rsidRDefault="00725039" w:rsidP="00725039">
      <w:pPr>
        <w:rPr>
          <w:sz w:val="20"/>
        </w:rPr>
      </w:pPr>
    </w:p>
    <w:p w14:paraId="7A1F2BFC" w14:textId="77777777" w:rsidR="00BD0E88" w:rsidRPr="00BD0E88" w:rsidRDefault="00BD0E88" w:rsidP="00BD0E88">
      <w:pPr>
        <w:pStyle w:val="FootnoteText"/>
        <w:tabs>
          <w:tab w:val="clear" w:pos="360"/>
        </w:tabs>
        <w:ind w:left="720"/>
        <w:rPr>
          <w:rFonts w:ascii="Times New Roman" w:hAnsi="Times New Roman"/>
          <w:sz w:val="20"/>
          <w:lang w:val="en-US"/>
        </w:rPr>
      </w:pPr>
      <w:r w:rsidRPr="00C240D7">
        <w:rPr>
          <w:szCs w:val="22"/>
          <w:lang w:val="en-US"/>
        </w:rPr>
        <w:tab/>
      </w:r>
      <w:r w:rsidRPr="00BD0E88">
        <w:rPr>
          <w:szCs w:val="22"/>
          <w:lang w:val="en-US"/>
        </w:rPr>
        <w:t>5.</w:t>
      </w:r>
      <w:r w:rsidRPr="00BD0E88">
        <w:rPr>
          <w:szCs w:val="22"/>
          <w:lang w:val="en-US"/>
        </w:rPr>
        <w:tab/>
        <w:t xml:space="preserve">… </w:t>
      </w:r>
      <w:r w:rsidRPr="00BD0E88">
        <w:rPr>
          <w:rFonts w:ascii="Times New Roman" w:hAnsi="Times New Roman"/>
          <w:sz w:val="20"/>
          <w:lang w:val="en-US"/>
        </w:rPr>
        <w:t>April 2017 of that country’s decision to denounce the Organization’s Charter.</w:t>
      </w:r>
    </w:p>
    <w:p w14:paraId="439C2983" w14:textId="77777777" w:rsidR="00BD0E88" w:rsidRDefault="00BD0E88" w:rsidP="00BD0E88">
      <w:pPr>
        <w:jc w:val="both"/>
        <w:rPr>
          <w:sz w:val="20"/>
        </w:rPr>
      </w:pPr>
    </w:p>
    <w:p w14:paraId="3523847F" w14:textId="1D1387E1" w:rsidR="00227F1D" w:rsidRDefault="00BD0E88" w:rsidP="00BD0E88">
      <w:pPr>
        <w:ind w:firstLine="720"/>
        <w:jc w:val="both"/>
        <w:rPr>
          <w:sz w:val="20"/>
        </w:rPr>
      </w:pPr>
      <w:r w:rsidRPr="00BD0E88">
        <w:rPr>
          <w:sz w:val="20"/>
        </w:rPr>
        <w:t>Consequently, the Bolivarian Republic of Venezuela has ceased to be a member of the Organization, so that Argentina considers it necessary to assess the situation and is, in any case, unable to recognize the credentials of any designated representative of Venezuela at this General Assembly.</w:t>
      </w:r>
    </w:p>
    <w:p w14:paraId="115074B8" w14:textId="569A703D" w:rsidR="00BD0E88" w:rsidRDefault="00BD0E88" w:rsidP="00BD0E88">
      <w:pPr>
        <w:ind w:firstLine="720"/>
        <w:jc w:val="both"/>
        <w:rPr>
          <w:sz w:val="20"/>
        </w:rPr>
      </w:pPr>
    </w:p>
    <w:p w14:paraId="3889B8AF" w14:textId="77777777" w:rsidR="00BD0E88" w:rsidRPr="00BD0E88" w:rsidRDefault="00BD0E88" w:rsidP="00BD0E88">
      <w:pPr>
        <w:ind w:firstLine="720"/>
        <w:jc w:val="both"/>
        <w:rPr>
          <w:sz w:val="20"/>
        </w:rPr>
      </w:pPr>
      <w:r w:rsidRPr="00BD0E88">
        <w:rPr>
          <w:sz w:val="20"/>
        </w:rPr>
        <w:t>6.</w:t>
      </w:r>
      <w:r w:rsidRPr="00BD0E88">
        <w:rPr>
          <w:sz w:val="20"/>
        </w:rPr>
        <w:tab/>
        <w:t>… OAS which stipulates that its denunciation by a Member States shall come into effect two years after the receipt thereof, at which time it will cease to be in force with respect to the denouncing state, which shall be left without rights and duties and unattached from all actions and decisions of the Organization.</w:t>
      </w:r>
    </w:p>
    <w:p w14:paraId="74C46E89" w14:textId="77777777" w:rsidR="00BD0E88" w:rsidRDefault="00BD0E88" w:rsidP="00BD0E88">
      <w:pPr>
        <w:ind w:firstLine="720"/>
        <w:jc w:val="both"/>
        <w:rPr>
          <w:sz w:val="20"/>
        </w:rPr>
      </w:pPr>
    </w:p>
    <w:p w14:paraId="167EEB6B" w14:textId="0305135C" w:rsidR="00BD0E88" w:rsidRPr="00BD0E88" w:rsidRDefault="00BD0E88" w:rsidP="00BD0E88">
      <w:pPr>
        <w:ind w:firstLine="720"/>
        <w:jc w:val="both"/>
        <w:rPr>
          <w:sz w:val="20"/>
        </w:rPr>
      </w:pPr>
      <w:r w:rsidRPr="00BD0E88">
        <w:rPr>
          <w:sz w:val="20"/>
        </w:rPr>
        <w:t>Antigua and Barbuda considers that the Bolivarian Republic of Venezuela is not a member state of the Organization of American States since, on 27 April 2017, the Government of  the Bolivarian Republic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33709E03" w14:textId="77777777" w:rsidR="00BD0E88" w:rsidRDefault="00BD0E88" w:rsidP="00BD0E88">
      <w:pPr>
        <w:ind w:firstLine="720"/>
        <w:jc w:val="both"/>
        <w:rPr>
          <w:sz w:val="20"/>
        </w:rPr>
      </w:pPr>
    </w:p>
    <w:p w14:paraId="7DD0B33E" w14:textId="4C123087" w:rsidR="00BD0E88" w:rsidRDefault="00BD0E88" w:rsidP="00BD0E88">
      <w:pPr>
        <w:ind w:firstLine="720"/>
        <w:jc w:val="both"/>
        <w:rPr>
          <w:sz w:val="20"/>
        </w:rPr>
      </w:pPr>
      <w:r w:rsidRPr="00BD0E88">
        <w:rPr>
          <w:sz w:val="20"/>
        </w:rPr>
        <w:t xml:space="preserve">Therefore, Antigua and Barbuda </w:t>
      </w:r>
      <w:proofErr w:type="gramStart"/>
      <w:r w:rsidRPr="00BD0E88">
        <w:rPr>
          <w:sz w:val="20"/>
        </w:rPr>
        <w:t>rejects</w:t>
      </w:r>
      <w:proofErr w:type="gramEnd"/>
      <w:r w:rsidRPr="00BD0E88">
        <w:rPr>
          <w:sz w:val="20"/>
        </w:rPr>
        <w:t xml:space="preserve"> the validity of the credentials of a purported representative of Venezuela to the 51st General Assembly and any organs of the Organization, particularly the Permanent Council, and, will not recognize or be bound by any declaration, resolution or statement of any organ of the OAS that relies, for an absolute or two-thirds majority, on a vote from the purported Venezuelan representative.</w:t>
      </w:r>
    </w:p>
    <w:p w14:paraId="70DC7A50" w14:textId="554D5602" w:rsidR="00BD0E88" w:rsidRDefault="00BD0E88" w:rsidP="00BD0E88">
      <w:pPr>
        <w:ind w:firstLine="720"/>
        <w:jc w:val="both"/>
        <w:rPr>
          <w:sz w:val="20"/>
        </w:rPr>
      </w:pPr>
    </w:p>
    <w:p w14:paraId="12E969D0" w14:textId="1DF6DDF9" w:rsidR="00BD0E88" w:rsidRDefault="00BD0E88" w:rsidP="00BD0E88">
      <w:pPr>
        <w:ind w:firstLine="720"/>
        <w:jc w:val="both"/>
        <w:rPr>
          <w:sz w:val="20"/>
        </w:rPr>
      </w:pPr>
      <w:r>
        <w:rPr>
          <w:sz w:val="20"/>
        </w:rPr>
        <w:t>7.</w:t>
      </w:r>
      <w:r>
        <w:rPr>
          <w:sz w:val="20"/>
        </w:rPr>
        <w:tab/>
        <w:t xml:space="preserve">… </w:t>
      </w:r>
      <w:r w:rsidRPr="00BD0E88">
        <w:rPr>
          <w:sz w:val="20"/>
        </w:rPr>
        <w:t>Representative to the OAS and does not accept the credentials of the officials intending to represent the Bolivarian Republic of Venezuela at this fifty-first regular session of the General Assembly of the OAS. The Government of Belize therefore reserves its rights, until further notice, not to be bound by any decisions or resolutions adopted at this General Assembly in which the Bolivarian Republic of Venezuela participated.</w:t>
      </w:r>
    </w:p>
    <w:p w14:paraId="22AE60CB" w14:textId="16C4133B" w:rsidR="00BD0E88" w:rsidRDefault="00BD0E88" w:rsidP="00BD0E88">
      <w:pPr>
        <w:ind w:firstLine="720"/>
        <w:jc w:val="both"/>
        <w:rPr>
          <w:sz w:val="20"/>
        </w:rPr>
      </w:pPr>
    </w:p>
    <w:p w14:paraId="7B227CD8" w14:textId="64D7DB0F" w:rsidR="00BD0E88" w:rsidRDefault="00BD0E88" w:rsidP="00BD0E88">
      <w:pPr>
        <w:ind w:firstLine="720"/>
        <w:jc w:val="both"/>
        <w:rPr>
          <w:sz w:val="20"/>
        </w:rPr>
      </w:pPr>
      <w:r>
        <w:rPr>
          <w:sz w:val="20"/>
        </w:rPr>
        <w:t xml:space="preserve">8. </w:t>
      </w:r>
      <w:r>
        <w:rPr>
          <w:sz w:val="20"/>
        </w:rPr>
        <w:tab/>
        <w:t xml:space="preserve">… </w:t>
      </w:r>
      <w:r w:rsidRPr="00BD0E88">
        <w:rPr>
          <w:sz w:val="20"/>
        </w:rPr>
        <w:t>Organization of American States and therefore, reserves its rights, until further notice, not to recognize or be bound by, any decisions, declarations or resolutions adopted at this General Assembly in which such parties have participated.</w:t>
      </w:r>
    </w:p>
    <w:p w14:paraId="47FBB5A0" w14:textId="1E739989" w:rsidR="00BD0E88" w:rsidRDefault="00BD0E88" w:rsidP="00BD0E88">
      <w:pPr>
        <w:ind w:firstLine="720"/>
        <w:jc w:val="both"/>
        <w:rPr>
          <w:sz w:val="20"/>
        </w:rPr>
      </w:pPr>
    </w:p>
    <w:p w14:paraId="53D5F183" w14:textId="14E8B267" w:rsidR="00BD0E88" w:rsidRPr="00BD0E88" w:rsidRDefault="00BD0E88" w:rsidP="00BD0E88">
      <w:pPr>
        <w:ind w:firstLine="720"/>
        <w:jc w:val="both"/>
        <w:rPr>
          <w:sz w:val="20"/>
        </w:rPr>
      </w:pPr>
      <w:r>
        <w:rPr>
          <w:sz w:val="20"/>
        </w:rPr>
        <w:t xml:space="preserve">9. </w:t>
      </w:r>
      <w:r>
        <w:rPr>
          <w:sz w:val="20"/>
        </w:rPr>
        <w:tab/>
        <w:t xml:space="preserve">… </w:t>
      </w:r>
      <w:r w:rsidRPr="00BD0E88">
        <w:rPr>
          <w:sz w:val="20"/>
        </w:rPr>
        <w:t>law, no other entity can validly assume the representation of the Government of that country.</w:t>
      </w:r>
    </w:p>
    <w:p w14:paraId="2FEE0E94" w14:textId="77777777" w:rsidR="00A940BB" w:rsidRPr="00137053" w:rsidRDefault="00A940BB" w:rsidP="0054720F"/>
    <w:p w14:paraId="5AB221B9" w14:textId="78B4F97B" w:rsidR="00391A8F" w:rsidRPr="00A940BB" w:rsidRDefault="00385DD1" w:rsidP="0054720F">
      <w:r>
        <w:rPr>
          <w:noProof/>
        </w:rPr>
        <mc:AlternateContent>
          <mc:Choice Requires="wps">
            <w:drawing>
              <wp:anchor distT="0" distB="0" distL="114300" distR="114300" simplePos="0" relativeHeight="251659264" behindDoc="0" locked="1" layoutInCell="1" allowOverlap="1" wp14:anchorId="51D3E1DD" wp14:editId="4D7FEF26">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669190" w14:textId="365B5AD5" w:rsidR="00385DD1" w:rsidRPr="00385DD1" w:rsidRDefault="00385DD1">
                            <w:pPr>
                              <w:rPr>
                                <w:sz w:val="18"/>
                              </w:rPr>
                            </w:pPr>
                            <w:r>
                              <w:rPr>
                                <w:sz w:val="18"/>
                              </w:rPr>
                              <w:fldChar w:fldCharType="begin"/>
                            </w:r>
                            <w:r>
                              <w:rPr>
                                <w:sz w:val="18"/>
                              </w:rPr>
                              <w:instrText xml:space="preserve"> FILENAME  \* MERGEFORMAT </w:instrText>
                            </w:r>
                            <w:r>
                              <w:rPr>
                                <w:sz w:val="18"/>
                              </w:rPr>
                              <w:fldChar w:fldCharType="separate"/>
                            </w:r>
                            <w:r>
                              <w:rPr>
                                <w:noProof/>
                                <w:sz w:val="18"/>
                              </w:rPr>
                              <w:t>AG08467E01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3E1DD"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18669190" w14:textId="365B5AD5" w:rsidR="00385DD1" w:rsidRPr="00385DD1" w:rsidRDefault="00385DD1">
                      <w:pPr>
                        <w:rPr>
                          <w:sz w:val="18"/>
                        </w:rPr>
                      </w:pPr>
                      <w:r>
                        <w:rPr>
                          <w:sz w:val="18"/>
                        </w:rPr>
                        <w:fldChar w:fldCharType="begin"/>
                      </w:r>
                      <w:r>
                        <w:rPr>
                          <w:sz w:val="18"/>
                        </w:rPr>
                        <w:instrText xml:space="preserve"> FILENAME  \* MERGEFORMAT </w:instrText>
                      </w:r>
                      <w:r>
                        <w:rPr>
                          <w:sz w:val="18"/>
                        </w:rPr>
                        <w:fldChar w:fldCharType="separate"/>
                      </w:r>
                      <w:r>
                        <w:rPr>
                          <w:noProof/>
                          <w:sz w:val="18"/>
                        </w:rPr>
                        <w:t>AG08467E01</w:t>
                      </w:r>
                      <w:r>
                        <w:rPr>
                          <w:sz w:val="18"/>
                        </w:rPr>
                        <w:fldChar w:fldCharType="end"/>
                      </w:r>
                    </w:p>
                  </w:txbxContent>
                </v:textbox>
                <w10:wrap anchory="page"/>
                <w10:anchorlock/>
              </v:shape>
            </w:pict>
          </mc:Fallback>
        </mc:AlternateContent>
      </w:r>
    </w:p>
    <w:sectPr w:rsidR="00391A8F" w:rsidRPr="00A940BB" w:rsidSect="00385DD1">
      <w:headerReference w:type="default" r:id="rId8"/>
      <w:footerReference w:type="default" r:id="rId9"/>
      <w:type w:val="oddPage"/>
      <w:pgSz w:w="12240" w:h="15840" w:code="1"/>
      <w:pgMar w:top="2160" w:right="1570" w:bottom="1296" w:left="1699" w:header="1296" w:footer="1296" w:gutter="0"/>
      <w:pgNumType w:start="1" w:chapSep="em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2575" w14:textId="77777777" w:rsidR="00B565C0" w:rsidRDefault="00B565C0">
      <w:r>
        <w:separator/>
      </w:r>
    </w:p>
  </w:endnote>
  <w:endnote w:type="continuationSeparator" w:id="0">
    <w:p w14:paraId="272EC6C2" w14:textId="77777777" w:rsidR="00B565C0" w:rsidRDefault="00B5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6682" w14:textId="4BF8B32B" w:rsidR="00293A8B" w:rsidRDefault="00293A8B">
    <w:pPr>
      <w:pStyle w:val="Footer"/>
    </w:pPr>
    <w:r>
      <w:rPr>
        <w:noProof/>
      </w:rPr>
      <w:drawing>
        <wp:anchor distT="0" distB="0" distL="114300" distR="114300" simplePos="0" relativeHeight="251659264" behindDoc="0" locked="0" layoutInCell="1" allowOverlap="1" wp14:anchorId="1EFE5D7A" wp14:editId="5847610B">
          <wp:simplePos x="0" y="0"/>
          <wp:positionH relativeFrom="column">
            <wp:posOffset>5363456</wp:posOffset>
          </wp:positionH>
          <wp:positionV relativeFrom="page">
            <wp:posOffset>8675215</wp:posOffset>
          </wp:positionV>
          <wp:extent cx="713740" cy="713740"/>
          <wp:effectExtent l="0" t="0" r="0" b="0"/>
          <wp:wrapNone/>
          <wp:docPr id="19" name="Picture 1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Qr cod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740" cy="713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550E" w14:textId="77777777" w:rsidR="00B565C0" w:rsidRDefault="00B565C0">
      <w:r>
        <w:separator/>
      </w:r>
    </w:p>
  </w:footnote>
  <w:footnote w:type="continuationSeparator" w:id="0">
    <w:p w14:paraId="67AFE805" w14:textId="77777777" w:rsidR="00B565C0" w:rsidRDefault="00B565C0">
      <w:r>
        <w:continuationSeparator/>
      </w:r>
    </w:p>
  </w:footnote>
  <w:footnote w:id="1">
    <w:p w14:paraId="11A12597" w14:textId="252D06A0" w:rsidR="0054720F" w:rsidRPr="00BD0E88" w:rsidRDefault="0054720F" w:rsidP="00BD0E88">
      <w:pPr>
        <w:pStyle w:val="FootnoteText"/>
        <w:tabs>
          <w:tab w:val="clear" w:pos="360"/>
        </w:tabs>
        <w:ind w:left="720"/>
        <w:rPr>
          <w:rFonts w:ascii="Times New Roman" w:hAnsi="Times New Roman"/>
          <w:sz w:val="20"/>
          <w:lang w:val="en-US"/>
        </w:rPr>
      </w:pPr>
      <w:r w:rsidRPr="00BD0E88">
        <w:rPr>
          <w:rStyle w:val="FootnoteReference"/>
          <w:rFonts w:ascii="Times New Roman" w:hAnsi="Times New Roman"/>
          <w:sz w:val="20"/>
        </w:rPr>
        <w:footnoteRef/>
      </w:r>
      <w:r w:rsidRPr="00BD0E88">
        <w:rPr>
          <w:rFonts w:ascii="Times New Roman" w:hAnsi="Times New Roman"/>
          <w:sz w:val="20"/>
          <w:lang w:val="en-US"/>
        </w:rPr>
        <w:t>.</w:t>
      </w:r>
      <w:r w:rsidRPr="00BD0E88">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2">
    <w:p w14:paraId="23D8D60A" w14:textId="001F0A44" w:rsidR="0054720F" w:rsidRPr="00BD0E88" w:rsidRDefault="0054720F" w:rsidP="00BD0E88">
      <w:pPr>
        <w:pStyle w:val="FootnoteText"/>
        <w:tabs>
          <w:tab w:val="clear" w:pos="360"/>
        </w:tabs>
        <w:ind w:left="720"/>
        <w:rPr>
          <w:rFonts w:ascii="Times New Roman" w:hAnsi="Times New Roman"/>
          <w:sz w:val="20"/>
          <w:lang w:val="en-US"/>
        </w:rPr>
      </w:pPr>
      <w:r w:rsidRPr="00BD0E88">
        <w:rPr>
          <w:rStyle w:val="FootnoteReference"/>
          <w:rFonts w:ascii="Times New Roman" w:hAnsi="Times New Roman"/>
          <w:sz w:val="20"/>
        </w:rPr>
        <w:footnoteRef/>
      </w:r>
      <w:r w:rsidRPr="00BD0E88">
        <w:rPr>
          <w:rFonts w:ascii="Times New Roman" w:hAnsi="Times New Roman"/>
          <w:sz w:val="20"/>
          <w:lang w:val="en-US"/>
        </w:rPr>
        <w:t>.</w:t>
      </w:r>
      <w:r w:rsidRPr="00BD0E88">
        <w:rPr>
          <w:rFonts w:ascii="Times New Roman" w:hAnsi="Times New Roman"/>
          <w:sz w:val="20"/>
          <w:lang w:val="en-US"/>
        </w:rPr>
        <w:tab/>
        <w:t>Bolivia states with concern that the report by the Secretary General on the presentation of credentials by the delegations taking part in the 51st regular session of the General Assembly contradicts</w:t>
      </w:r>
      <w:r w:rsidR="00BD0E88">
        <w:rPr>
          <w:rFonts w:ascii="Times New Roman" w:hAnsi="Times New Roman"/>
          <w:sz w:val="20"/>
          <w:lang w:val="en-US"/>
        </w:rPr>
        <w:t>…</w:t>
      </w:r>
    </w:p>
  </w:footnote>
  <w:footnote w:id="3">
    <w:p w14:paraId="72F4EF37" w14:textId="5C31B7BD" w:rsidR="0054720F" w:rsidRPr="00BD0E88" w:rsidRDefault="0054720F" w:rsidP="00BD0E88">
      <w:pPr>
        <w:pStyle w:val="FootnoteText"/>
        <w:tabs>
          <w:tab w:val="clear" w:pos="360"/>
        </w:tabs>
        <w:ind w:left="720"/>
        <w:rPr>
          <w:rFonts w:ascii="Times New Roman" w:hAnsi="Times New Roman"/>
          <w:sz w:val="20"/>
          <w:lang w:val="en-US"/>
        </w:rPr>
      </w:pPr>
      <w:r w:rsidRPr="00BD0E88">
        <w:rPr>
          <w:rStyle w:val="FootnoteReference"/>
          <w:rFonts w:ascii="Times New Roman" w:hAnsi="Times New Roman"/>
          <w:sz w:val="20"/>
        </w:rPr>
        <w:footnoteRef/>
      </w:r>
      <w:r w:rsidRPr="00BD0E88">
        <w:rPr>
          <w:rFonts w:ascii="Times New Roman" w:hAnsi="Times New Roman"/>
          <w:sz w:val="20"/>
          <w:lang w:val="en-US"/>
        </w:rPr>
        <w:t>.</w:t>
      </w:r>
      <w:r w:rsidRPr="00BD0E88">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r w:rsidR="00BD0E88">
        <w:rPr>
          <w:rFonts w:ascii="Times New Roman" w:hAnsi="Times New Roman"/>
          <w:sz w:val="20"/>
          <w:lang w:val="en-US"/>
        </w:rPr>
        <w:t>…</w:t>
      </w:r>
    </w:p>
  </w:footnote>
  <w:footnote w:id="4">
    <w:p w14:paraId="011845F2" w14:textId="13F48E6A" w:rsidR="0054720F" w:rsidRPr="00BD0E88" w:rsidRDefault="0054720F" w:rsidP="00BD0E88">
      <w:pPr>
        <w:pStyle w:val="FootnoteText"/>
        <w:tabs>
          <w:tab w:val="clear" w:pos="360"/>
        </w:tabs>
        <w:ind w:left="720"/>
        <w:rPr>
          <w:rFonts w:ascii="Times New Roman" w:hAnsi="Times New Roman"/>
          <w:sz w:val="20"/>
          <w:lang w:val="en-US"/>
        </w:rPr>
      </w:pPr>
      <w:r w:rsidRPr="00BD0E88">
        <w:rPr>
          <w:rStyle w:val="FootnoteReference"/>
          <w:rFonts w:ascii="Times New Roman" w:hAnsi="Times New Roman"/>
          <w:sz w:val="20"/>
        </w:rPr>
        <w:footnoteRef/>
      </w:r>
      <w:r w:rsidRPr="00BD0E88">
        <w:rPr>
          <w:rFonts w:ascii="Times New Roman" w:hAnsi="Times New Roman"/>
          <w:sz w:val="20"/>
          <w:lang w:val="en-US"/>
        </w:rPr>
        <w:t>.</w:t>
      </w:r>
      <w:r w:rsidRPr="00BD0E88">
        <w:rPr>
          <w:rFonts w:ascii="Times New Roman" w:hAnsi="Times New Roman"/>
          <w:sz w:val="20"/>
          <w:lang w:val="en-US"/>
        </w:rPr>
        <w:tab/>
        <w:t>Nicaragua endorses the statements made by the delegations of Saint Vincent and the Grenadines, the United Mexican States, and the Plurinational State of Bolivia, rejecting the improper accreditation of</w:t>
      </w:r>
      <w:r w:rsidR="00BD0E88">
        <w:rPr>
          <w:rFonts w:ascii="Times New Roman" w:hAnsi="Times New Roman"/>
          <w:sz w:val="20"/>
          <w:lang w:val="en-US"/>
        </w:rPr>
        <w:t>…</w:t>
      </w:r>
    </w:p>
  </w:footnote>
  <w:footnote w:id="5">
    <w:p w14:paraId="0241197F" w14:textId="3CB5E19F" w:rsidR="0054720F" w:rsidRPr="00BD0E88" w:rsidRDefault="0054720F" w:rsidP="00BD0E88">
      <w:pPr>
        <w:pStyle w:val="FootnoteText"/>
        <w:tabs>
          <w:tab w:val="clear" w:pos="360"/>
        </w:tabs>
        <w:ind w:left="720"/>
        <w:rPr>
          <w:rFonts w:ascii="Times New Roman" w:hAnsi="Times New Roman"/>
          <w:sz w:val="20"/>
          <w:lang w:val="en-US"/>
        </w:rPr>
      </w:pPr>
      <w:r w:rsidRPr="00BD0E88">
        <w:rPr>
          <w:rFonts w:ascii="Times New Roman" w:hAnsi="Times New Roman"/>
          <w:sz w:val="20"/>
          <w:lang w:val="en-US"/>
        </w:rPr>
        <w:footnoteRef/>
      </w:r>
      <w:r w:rsidRPr="00BD0E88">
        <w:rPr>
          <w:rFonts w:ascii="Times New Roman" w:hAnsi="Times New Roman"/>
          <w:sz w:val="20"/>
          <w:lang w:val="en-US"/>
        </w:rPr>
        <w:t>.</w:t>
      </w:r>
      <w:r w:rsidRPr="00BD0E88">
        <w:rPr>
          <w:rFonts w:ascii="Times New Roman" w:hAnsi="Times New Roman"/>
          <w:sz w:val="20"/>
          <w:lang w:val="en-US"/>
        </w:rPr>
        <w:tab/>
        <w:t>The Republic of Argentina understands that the Bolivarian Republic of Venezuela withdrew from the Organization of American States when President Nicolas Maduro notified the General Secretariat in</w:t>
      </w:r>
      <w:r w:rsidR="00BD0E88">
        <w:rPr>
          <w:rFonts w:ascii="Times New Roman" w:hAnsi="Times New Roman"/>
          <w:sz w:val="20"/>
          <w:lang w:val="en-US"/>
        </w:rPr>
        <w:t>…</w:t>
      </w:r>
    </w:p>
  </w:footnote>
  <w:footnote w:id="6">
    <w:p w14:paraId="28144C3B" w14:textId="4F2016B2" w:rsidR="0054720F" w:rsidRPr="00BD0E88" w:rsidRDefault="0054720F" w:rsidP="00BD0E88">
      <w:pPr>
        <w:pStyle w:val="FootnoteText"/>
        <w:tabs>
          <w:tab w:val="clear" w:pos="360"/>
        </w:tabs>
        <w:ind w:left="720"/>
        <w:rPr>
          <w:rFonts w:ascii="Times New Roman" w:hAnsi="Times New Roman"/>
          <w:sz w:val="20"/>
          <w:lang w:val="en-US"/>
        </w:rPr>
      </w:pPr>
      <w:r w:rsidRPr="00BD0E88">
        <w:rPr>
          <w:rFonts w:ascii="Times New Roman" w:hAnsi="Times New Roman"/>
          <w:sz w:val="20"/>
          <w:lang w:val="en-US"/>
        </w:rPr>
        <w:footnoteRef/>
      </w:r>
      <w:r w:rsidRPr="00BD0E88">
        <w:rPr>
          <w:rFonts w:ascii="Times New Roman" w:hAnsi="Times New Roman"/>
          <w:sz w:val="20"/>
          <w:lang w:val="en-US"/>
        </w:rPr>
        <w:t>.</w:t>
      </w:r>
      <w:r w:rsidRPr="00BD0E88">
        <w:rPr>
          <w:rFonts w:ascii="Times New Roman" w:hAnsi="Times New Roman"/>
          <w:sz w:val="20"/>
          <w:lang w:val="en-US"/>
        </w:rPr>
        <w:tab/>
        <w:t>The acceptance of credentials of any person or entity purporting to represent a Member State that has withdrawn from the Organization of American States is contrary to article 143 of the Charter of the</w:t>
      </w:r>
      <w:r w:rsidR="00BD0E88">
        <w:rPr>
          <w:rFonts w:ascii="Times New Roman" w:hAnsi="Times New Roman"/>
          <w:sz w:val="20"/>
          <w:lang w:val="en-US"/>
        </w:rPr>
        <w:t>…</w:t>
      </w:r>
    </w:p>
  </w:footnote>
  <w:footnote w:id="7">
    <w:p w14:paraId="50B0AA88" w14:textId="6163C890" w:rsidR="0054720F" w:rsidRPr="00BD0E88" w:rsidRDefault="0054720F" w:rsidP="00BD0E88">
      <w:pPr>
        <w:pStyle w:val="FootnoteText"/>
        <w:tabs>
          <w:tab w:val="clear" w:pos="360"/>
        </w:tabs>
        <w:ind w:left="720"/>
        <w:rPr>
          <w:rFonts w:ascii="Times New Roman" w:hAnsi="Times New Roman"/>
          <w:sz w:val="20"/>
          <w:lang w:val="en-US"/>
        </w:rPr>
      </w:pPr>
      <w:r w:rsidRPr="00BD0E88">
        <w:rPr>
          <w:rFonts w:ascii="Times New Roman" w:hAnsi="Times New Roman"/>
          <w:sz w:val="20"/>
          <w:lang w:val="en-US"/>
        </w:rPr>
        <w:footnoteRef/>
      </w:r>
      <w:r w:rsidRPr="00BD0E88">
        <w:rPr>
          <w:rFonts w:ascii="Times New Roman" w:hAnsi="Times New Roman"/>
          <w:sz w:val="20"/>
          <w:lang w:val="en-US"/>
        </w:rPr>
        <w:t>.</w:t>
      </w:r>
      <w:r w:rsidRPr="00BD0E88">
        <w:rPr>
          <w:rFonts w:ascii="Times New Roman" w:hAnsi="Times New Roman"/>
          <w:sz w:val="20"/>
          <w:lang w:val="en-US"/>
        </w:rPr>
        <w:tab/>
        <w:t>The Government of Belize did not support Resolution CP/RES. 1124 (2217/19) of April 9, 2019, which sought to appoint Mr. Gustavo Tarre as the National Assembly’s designated Permanent</w:t>
      </w:r>
      <w:r w:rsidR="00BD0E88">
        <w:rPr>
          <w:rFonts w:ascii="Times New Roman" w:hAnsi="Times New Roman"/>
          <w:sz w:val="20"/>
          <w:lang w:val="en-US"/>
        </w:rPr>
        <w:t>…</w:t>
      </w:r>
    </w:p>
  </w:footnote>
  <w:footnote w:id="8">
    <w:p w14:paraId="01F5C91D" w14:textId="02CD6DB8" w:rsidR="0054720F" w:rsidRPr="00BD0E88" w:rsidRDefault="0054720F" w:rsidP="00BD0E88">
      <w:pPr>
        <w:pStyle w:val="FootnoteText"/>
        <w:tabs>
          <w:tab w:val="clear" w:pos="360"/>
        </w:tabs>
        <w:ind w:left="720"/>
        <w:rPr>
          <w:rFonts w:ascii="Times New Roman" w:hAnsi="Times New Roman"/>
          <w:sz w:val="20"/>
          <w:lang w:val="en-US"/>
        </w:rPr>
      </w:pPr>
      <w:r w:rsidRPr="00BD0E88">
        <w:rPr>
          <w:rFonts w:ascii="Times New Roman" w:hAnsi="Times New Roman"/>
          <w:sz w:val="20"/>
          <w:lang w:val="en-US"/>
        </w:rPr>
        <w:footnoteRef/>
      </w:r>
      <w:r w:rsidRPr="00BD0E88">
        <w:rPr>
          <w:rFonts w:ascii="Times New Roman" w:hAnsi="Times New Roman"/>
          <w:sz w:val="20"/>
          <w:lang w:val="en-US"/>
        </w:rPr>
        <w:t>.</w:t>
      </w:r>
      <w:r w:rsidRPr="00BD0E88">
        <w:rPr>
          <w:rFonts w:ascii="Times New Roman" w:hAnsi="Times New Roman"/>
          <w:sz w:val="20"/>
          <w:lang w:val="en-US"/>
        </w:rPr>
        <w:tab/>
        <w:t>The Government of Saint Lucia does not accept the credentials of parties claiming to represent the Bolivarian Republic of Venezuela at this Fifty-first Regular Session of the General Assembly of the</w:t>
      </w:r>
      <w:r w:rsidR="00BD0E88">
        <w:rPr>
          <w:rFonts w:ascii="Times New Roman" w:hAnsi="Times New Roman"/>
          <w:sz w:val="20"/>
          <w:lang w:val="en-US"/>
        </w:rPr>
        <w:t>…</w:t>
      </w:r>
    </w:p>
  </w:footnote>
  <w:footnote w:id="9">
    <w:p w14:paraId="7026DD96" w14:textId="05929E84" w:rsidR="0054720F" w:rsidRPr="00BD0E88" w:rsidRDefault="0054720F" w:rsidP="00BD0E88">
      <w:pPr>
        <w:pStyle w:val="FootnoteText"/>
        <w:tabs>
          <w:tab w:val="clear" w:pos="360"/>
        </w:tabs>
        <w:ind w:left="720"/>
        <w:rPr>
          <w:rFonts w:ascii="Times New Roman" w:hAnsi="Times New Roman"/>
          <w:sz w:val="20"/>
          <w:lang w:val="en-US"/>
        </w:rPr>
      </w:pPr>
      <w:r w:rsidRPr="00BD0E88">
        <w:rPr>
          <w:rFonts w:ascii="Times New Roman" w:hAnsi="Times New Roman"/>
          <w:sz w:val="20"/>
          <w:lang w:val="en-US"/>
        </w:rPr>
        <w:footnoteRef/>
      </w:r>
      <w:r w:rsidRPr="00BD0E88">
        <w:rPr>
          <w:rFonts w:ascii="Times New Roman" w:hAnsi="Times New Roman"/>
          <w:sz w:val="20"/>
          <w:lang w:val="en-US"/>
        </w:rPr>
        <w:t>.</w:t>
      </w:r>
      <w:r w:rsidRPr="00BD0E88">
        <w:rPr>
          <w:rFonts w:ascii="Times New Roman" w:hAnsi="Times New Roman"/>
          <w:sz w:val="20"/>
          <w:lang w:val="en-US"/>
        </w:rPr>
        <w:tab/>
      </w:r>
      <w:r w:rsidR="00725039" w:rsidRPr="00BD0E88">
        <w:rPr>
          <w:rFonts w:ascii="Times New Roman" w:hAnsi="Times New Roman"/>
          <w:sz w:val="20"/>
          <w:lang w:val="en-US"/>
        </w:rPr>
        <w:t>Peru maintains diplomatic relations with the Bolivarian Republic of Venezuela. The Bolivarian Republic of Venezuela ceased to be a member state of the OAS, and therefore, in accordance with international</w:t>
      </w:r>
      <w:r w:rsidR="00BD0E88">
        <w:rPr>
          <w:rFonts w:ascii="Times New Roman" w:hAnsi="Times New Roman"/>
          <w:sz w:val="20"/>
          <w:lang w:val="en-US"/>
        </w:rPr>
        <w:t>…</w:t>
      </w:r>
    </w:p>
  </w:footnote>
  <w:footnote w:id="10">
    <w:p w14:paraId="41BA4408" w14:textId="1657D4C2" w:rsidR="00725039" w:rsidRPr="00BD0E88" w:rsidRDefault="00725039" w:rsidP="00BD0E88">
      <w:pPr>
        <w:pStyle w:val="FootnoteText"/>
        <w:tabs>
          <w:tab w:val="clear" w:pos="360"/>
        </w:tabs>
        <w:ind w:left="720"/>
        <w:rPr>
          <w:rFonts w:ascii="Times New Roman" w:hAnsi="Times New Roman"/>
          <w:sz w:val="20"/>
          <w:lang w:val="en-US"/>
        </w:rPr>
      </w:pPr>
      <w:r w:rsidRPr="00BD0E88">
        <w:rPr>
          <w:rFonts w:ascii="Times New Roman" w:hAnsi="Times New Roman"/>
          <w:sz w:val="20"/>
          <w:lang w:val="en-US"/>
        </w:rPr>
        <w:footnoteRef/>
      </w:r>
      <w:r w:rsidRPr="00BD0E88">
        <w:rPr>
          <w:rFonts w:ascii="Times New Roman" w:hAnsi="Times New Roman"/>
          <w:sz w:val="20"/>
          <w:lang w:val="en-US"/>
        </w:rPr>
        <w:t>.</w:t>
      </w:r>
      <w:r w:rsidR="00C240D7" w:rsidRPr="00C240D7">
        <w:rPr>
          <w:rFonts w:ascii="Times New Roman" w:hAnsi="Times New Roman"/>
          <w:sz w:val="20"/>
          <w:lang w:val="en-US"/>
        </w:rPr>
        <w:t xml:space="preserve"> </w:t>
      </w:r>
      <w:r w:rsidR="00C240D7">
        <w:rPr>
          <w:rFonts w:ascii="Times New Roman" w:hAnsi="Times New Roman"/>
          <w:sz w:val="20"/>
          <w:lang w:val="en-US"/>
        </w:rPr>
        <w:tab/>
      </w:r>
      <w:r w:rsidR="00C240D7" w:rsidRPr="009662F1">
        <w:rPr>
          <w:rFonts w:ascii="Times New Roman" w:hAnsi="Times New Roman"/>
          <w:sz w:val="20"/>
          <w:lang w:val="en-US"/>
        </w:rPr>
        <w:t xml:space="preserve">The delegation of </w:t>
      </w:r>
      <w:r w:rsidR="00C240D7">
        <w:rPr>
          <w:rFonts w:ascii="Times New Roman" w:hAnsi="Times New Roman"/>
          <w:sz w:val="20"/>
          <w:lang w:val="en-US"/>
        </w:rPr>
        <w:t xml:space="preserve">Trinidad and Tobago </w:t>
      </w:r>
      <w:r w:rsidR="00C240D7" w:rsidRPr="009662F1">
        <w:rPr>
          <w:rFonts w:ascii="Times New Roman" w:hAnsi="Times New Roman"/>
          <w:sz w:val="20"/>
          <w:lang w:val="en-US"/>
        </w:rPr>
        <w:t>announced that it will submit a footnote</w:t>
      </w:r>
      <w:r w:rsidRPr="00BD0E88">
        <w:rPr>
          <w:rFonts w:ascii="Times New Roman" w:hAnsi="Times New Roman"/>
          <w:sz w:val="20"/>
          <w:lang w:val="en-US"/>
        </w:rPr>
        <w:t>.</w:t>
      </w:r>
    </w:p>
  </w:footnote>
  <w:footnote w:id="11">
    <w:p w14:paraId="49057912" w14:textId="5C5617FD" w:rsidR="00A940BB" w:rsidRPr="00BD0E88" w:rsidRDefault="00A940BB" w:rsidP="00BD0E88">
      <w:pPr>
        <w:pStyle w:val="FootnoteText"/>
        <w:tabs>
          <w:tab w:val="clear" w:pos="360"/>
        </w:tabs>
        <w:ind w:left="720"/>
        <w:rPr>
          <w:rFonts w:ascii="Times New Roman" w:hAnsi="Times New Roman"/>
          <w:sz w:val="20"/>
          <w:lang w:val="en-US"/>
        </w:rPr>
      </w:pPr>
      <w:r w:rsidRPr="00BD0E88">
        <w:rPr>
          <w:rFonts w:ascii="Times New Roman" w:hAnsi="Times New Roman"/>
          <w:sz w:val="20"/>
          <w:lang w:val="en-US"/>
        </w:rPr>
        <w:footnoteRef/>
      </w:r>
      <w:r w:rsidRPr="00BD0E88">
        <w:rPr>
          <w:rFonts w:ascii="Times New Roman" w:hAnsi="Times New Roman"/>
          <w:sz w:val="20"/>
          <w:lang w:val="en-US"/>
        </w:rPr>
        <w:t>.</w:t>
      </w:r>
      <w:r w:rsidR="00C240D7">
        <w:rPr>
          <w:rFonts w:ascii="Times New Roman" w:hAnsi="Times New Roman"/>
          <w:sz w:val="20"/>
          <w:lang w:val="en-US"/>
        </w:rPr>
        <w:tab/>
      </w:r>
      <w:r w:rsidRPr="00BD0E88">
        <w:rPr>
          <w:rFonts w:ascii="Times New Roman" w:hAnsi="Times New Roman"/>
          <w:sz w:val="20"/>
          <w:lang w:val="en-US"/>
        </w:rPr>
        <w:t>Published separately as document</w:t>
      </w:r>
      <w:r w:rsidR="005D79CA" w:rsidRPr="00BD0E88">
        <w:rPr>
          <w:rFonts w:ascii="Times New Roman" w:hAnsi="Times New Roman"/>
          <w:sz w:val="20"/>
          <w:lang w:val="en-US"/>
        </w:rPr>
        <w:t xml:space="preserve"> </w:t>
      </w:r>
      <w:hyperlink r:id="rId1" w:history="1">
        <w:r w:rsidR="005D79CA" w:rsidRPr="008F3D4A">
          <w:rPr>
            <w:rStyle w:val="Hyperlink"/>
            <w:rFonts w:ascii="Times New Roman" w:hAnsi="Times New Roman"/>
            <w:sz w:val="20"/>
            <w:lang w:val="en-US"/>
          </w:rPr>
          <w:t>AG/doc.</w:t>
        </w:r>
        <w:r w:rsidR="00725039" w:rsidRPr="008F3D4A">
          <w:rPr>
            <w:rStyle w:val="Hyperlink"/>
            <w:rFonts w:ascii="Times New Roman" w:hAnsi="Times New Roman"/>
            <w:sz w:val="20"/>
            <w:lang w:val="en-US"/>
          </w:rPr>
          <w:t xml:space="preserve"> </w:t>
        </w:r>
        <w:r w:rsidR="00934435" w:rsidRPr="008F3D4A">
          <w:rPr>
            <w:rStyle w:val="Hyperlink"/>
            <w:rFonts w:ascii="Times New Roman" w:hAnsi="Times New Roman"/>
            <w:sz w:val="20"/>
            <w:lang w:val="en-US"/>
          </w:rPr>
          <w:t>5743</w:t>
        </w:r>
        <w:r w:rsidR="005D79CA" w:rsidRPr="008F3D4A">
          <w:rPr>
            <w:rStyle w:val="Hyperlink"/>
            <w:rFonts w:ascii="Times New Roman" w:hAnsi="Times New Roman"/>
            <w:sz w:val="20"/>
            <w:lang w:val="en-US"/>
          </w:rPr>
          <w:t>/</w:t>
        </w:r>
        <w:r w:rsidR="00194C29" w:rsidRPr="008F3D4A">
          <w:rPr>
            <w:rStyle w:val="Hyperlink"/>
            <w:rFonts w:ascii="Times New Roman" w:hAnsi="Times New Roman"/>
            <w:sz w:val="20"/>
            <w:lang w:val="en-US"/>
          </w:rPr>
          <w:t>2</w:t>
        </w:r>
        <w:r w:rsidR="00934435" w:rsidRPr="008F3D4A">
          <w:rPr>
            <w:rStyle w:val="Hyperlink"/>
            <w:rFonts w:ascii="Times New Roman" w:hAnsi="Times New Roman"/>
            <w:sz w:val="20"/>
            <w:lang w:val="en-US"/>
          </w:rPr>
          <w:t>1</w:t>
        </w:r>
      </w:hyperlink>
      <w:r w:rsidR="00725039" w:rsidRPr="00BD0E88">
        <w:rPr>
          <w:rFonts w:ascii="Times New Roman" w:hAnsi="Times New Roman"/>
          <w:sz w:val="20"/>
          <w:lang w:val="en-US"/>
        </w:rPr>
        <w:t xml:space="preserve"> rev.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407E" w14:textId="77777777" w:rsidR="00087443" w:rsidRDefault="00087443" w:rsidP="001169A9">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12F9D">
      <w:rPr>
        <w:rStyle w:val="PageNumber"/>
        <w:noProof/>
      </w:rPr>
      <w:t>2</w:t>
    </w:r>
    <w:r>
      <w:rPr>
        <w:rStyle w:val="PageNumber"/>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43"/>
    <w:rsid w:val="000731AC"/>
    <w:rsid w:val="00073F78"/>
    <w:rsid w:val="00080259"/>
    <w:rsid w:val="00083192"/>
    <w:rsid w:val="00087443"/>
    <w:rsid w:val="000E325E"/>
    <w:rsid w:val="000E6136"/>
    <w:rsid w:val="00115F18"/>
    <w:rsid w:val="001169A9"/>
    <w:rsid w:val="00117D68"/>
    <w:rsid w:val="00131EA1"/>
    <w:rsid w:val="00173208"/>
    <w:rsid w:val="00193BD0"/>
    <w:rsid w:val="00194C29"/>
    <w:rsid w:val="001B00B0"/>
    <w:rsid w:val="00204D6C"/>
    <w:rsid w:val="0021151E"/>
    <w:rsid w:val="0022198E"/>
    <w:rsid w:val="00227F1D"/>
    <w:rsid w:val="0026271E"/>
    <w:rsid w:val="0026493D"/>
    <w:rsid w:val="00293A8B"/>
    <w:rsid w:val="003041C4"/>
    <w:rsid w:val="00355278"/>
    <w:rsid w:val="00385DD1"/>
    <w:rsid w:val="00391A8F"/>
    <w:rsid w:val="003A5B0A"/>
    <w:rsid w:val="003B407D"/>
    <w:rsid w:val="003B6971"/>
    <w:rsid w:val="00403AD5"/>
    <w:rsid w:val="00424434"/>
    <w:rsid w:val="00450B67"/>
    <w:rsid w:val="004A4F49"/>
    <w:rsid w:val="004A5021"/>
    <w:rsid w:val="004B41C3"/>
    <w:rsid w:val="004C25CE"/>
    <w:rsid w:val="00512F9D"/>
    <w:rsid w:val="00531BE9"/>
    <w:rsid w:val="0054720F"/>
    <w:rsid w:val="005519B8"/>
    <w:rsid w:val="00572310"/>
    <w:rsid w:val="00574CC2"/>
    <w:rsid w:val="00576C53"/>
    <w:rsid w:val="0058510C"/>
    <w:rsid w:val="005B759C"/>
    <w:rsid w:val="005D79CA"/>
    <w:rsid w:val="005F4489"/>
    <w:rsid w:val="00611D4C"/>
    <w:rsid w:val="006728F2"/>
    <w:rsid w:val="006B5AEE"/>
    <w:rsid w:val="006C310D"/>
    <w:rsid w:val="006D2B91"/>
    <w:rsid w:val="006F294E"/>
    <w:rsid w:val="007076EE"/>
    <w:rsid w:val="007207DE"/>
    <w:rsid w:val="00725039"/>
    <w:rsid w:val="00736E2C"/>
    <w:rsid w:val="00737795"/>
    <w:rsid w:val="0079635B"/>
    <w:rsid w:val="007978DF"/>
    <w:rsid w:val="007A6AF9"/>
    <w:rsid w:val="007B171D"/>
    <w:rsid w:val="00816E8F"/>
    <w:rsid w:val="0084086D"/>
    <w:rsid w:val="00846F50"/>
    <w:rsid w:val="00864F9D"/>
    <w:rsid w:val="0089763F"/>
    <w:rsid w:val="008B7A91"/>
    <w:rsid w:val="008D1406"/>
    <w:rsid w:val="008F3D4A"/>
    <w:rsid w:val="009255E2"/>
    <w:rsid w:val="009312ED"/>
    <w:rsid w:val="00934435"/>
    <w:rsid w:val="00945516"/>
    <w:rsid w:val="00951FF5"/>
    <w:rsid w:val="00977D55"/>
    <w:rsid w:val="00990248"/>
    <w:rsid w:val="009A0F97"/>
    <w:rsid w:val="009C0519"/>
    <w:rsid w:val="00A47145"/>
    <w:rsid w:val="00A806A9"/>
    <w:rsid w:val="00A940BB"/>
    <w:rsid w:val="00AC5641"/>
    <w:rsid w:val="00AF360F"/>
    <w:rsid w:val="00B00024"/>
    <w:rsid w:val="00B10410"/>
    <w:rsid w:val="00B26DD8"/>
    <w:rsid w:val="00B33E27"/>
    <w:rsid w:val="00B565C0"/>
    <w:rsid w:val="00BA0951"/>
    <w:rsid w:val="00BA39C8"/>
    <w:rsid w:val="00BD0E88"/>
    <w:rsid w:val="00BF5779"/>
    <w:rsid w:val="00C03664"/>
    <w:rsid w:val="00C21862"/>
    <w:rsid w:val="00C240D7"/>
    <w:rsid w:val="00C27955"/>
    <w:rsid w:val="00C461FD"/>
    <w:rsid w:val="00C57E66"/>
    <w:rsid w:val="00C6175F"/>
    <w:rsid w:val="00CA3205"/>
    <w:rsid w:val="00CD6AB1"/>
    <w:rsid w:val="00D57A85"/>
    <w:rsid w:val="00D610A2"/>
    <w:rsid w:val="00DC234B"/>
    <w:rsid w:val="00DF111D"/>
    <w:rsid w:val="00E32180"/>
    <w:rsid w:val="00E510DB"/>
    <w:rsid w:val="00EA3A1E"/>
    <w:rsid w:val="00EC0787"/>
    <w:rsid w:val="00EC3C7F"/>
    <w:rsid w:val="00EE358C"/>
    <w:rsid w:val="00EF1610"/>
    <w:rsid w:val="00F65D4F"/>
    <w:rsid w:val="00F760B3"/>
    <w:rsid w:val="00F80916"/>
    <w:rsid w:val="00FA1594"/>
    <w:rsid w:val="00FE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5A1F73A9"/>
  <w15:chartTrackingRefBased/>
  <w15:docId w15:val="{2B0352B7-B906-4226-B256-4AA49F4F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44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087443"/>
    <w:pPr>
      <w:tabs>
        <w:tab w:val="center" w:pos="4320"/>
        <w:tab w:val="right" w:pos="8640"/>
      </w:tabs>
    </w:pPr>
  </w:style>
  <w:style w:type="character" w:styleId="PageNumber">
    <w:name w:val="page number"/>
    <w:basedOn w:val="DefaultParagraphFont"/>
    <w:rsid w:val="00087443"/>
  </w:style>
  <w:style w:type="paragraph" w:customStyle="1" w:styleId="TitleUppercase">
    <w:name w:val="Title Uppercase"/>
    <w:basedOn w:val="Normal"/>
    <w:rsid w:val="00087443"/>
    <w:pPr>
      <w:tabs>
        <w:tab w:val="left" w:pos="720"/>
        <w:tab w:val="left" w:pos="1440"/>
        <w:tab w:val="left" w:pos="2160"/>
        <w:tab w:val="left" w:pos="2880"/>
        <w:tab w:val="left" w:pos="7200"/>
        <w:tab w:val="left" w:pos="7920"/>
        <w:tab w:val="left" w:pos="8640"/>
      </w:tabs>
      <w:jc w:val="center"/>
    </w:pPr>
  </w:style>
  <w:style w:type="character" w:styleId="FootnoteReference">
    <w:name w:val="footnote reference"/>
    <w:semiHidden/>
    <w:rsid w:val="00087443"/>
    <w:rPr>
      <w:color w:val="auto"/>
      <w:vertAlign w:val="baseline"/>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rsid w:val="00087443"/>
    <w:pPr>
      <w:tabs>
        <w:tab w:val="left" w:pos="360"/>
      </w:tabs>
      <w:ind w:left="360" w:hanging="360"/>
      <w:jc w:val="both"/>
    </w:pPr>
    <w:rPr>
      <w:rFonts w:ascii="CG Times" w:hAnsi="CG Times"/>
      <w:sz w:val="18"/>
      <w:lang w:val="es-ES"/>
    </w:rPr>
  </w:style>
  <w:style w:type="paragraph" w:customStyle="1" w:styleId="Footnotetype">
    <w:name w:val="Footnote type"/>
    <w:basedOn w:val="Normal"/>
    <w:rsid w:val="00087443"/>
    <w:rPr>
      <w:u w:val="single"/>
      <w:vertAlign w:val="superscript"/>
      <w:lang w:val="es-ES"/>
    </w:rPr>
  </w:style>
  <w:style w:type="paragraph" w:styleId="BodyText">
    <w:name w:val="Body Text"/>
    <w:basedOn w:val="Normal"/>
    <w:rsid w:val="00087443"/>
    <w:pPr>
      <w:spacing w:line="480" w:lineRule="auto"/>
      <w:jc w:val="both"/>
    </w:pPr>
    <w:rPr>
      <w:lang w:val="es-ES"/>
    </w:rPr>
  </w:style>
  <w:style w:type="character" w:customStyle="1" w:styleId="HeaderChar">
    <w:name w:val="Header Char"/>
    <w:aliases w:val="encabezado Char"/>
    <w:link w:val="Header"/>
    <w:uiPriority w:val="99"/>
    <w:locked/>
    <w:rsid w:val="0026493D"/>
    <w:rPr>
      <w:sz w:val="22"/>
    </w:rPr>
  </w:style>
  <w:style w:type="paragraph" w:styleId="Footer">
    <w:name w:val="footer"/>
    <w:basedOn w:val="Normal"/>
    <w:rsid w:val="00512F9D"/>
    <w:pPr>
      <w:tabs>
        <w:tab w:val="center" w:pos="4320"/>
        <w:tab w:val="right" w:pos="8640"/>
      </w:tabs>
    </w:pPr>
  </w:style>
  <w:style w:type="character" w:styleId="Hyperlink">
    <w:name w:val="Hyperlink"/>
    <w:rsid w:val="005D79CA"/>
    <w:rPr>
      <w:color w:val="0000FF"/>
      <w:u w:val="single"/>
    </w:rPr>
  </w:style>
  <w:style w:type="paragraph" w:customStyle="1" w:styleId="Style1">
    <w:name w:val="Style 1"/>
    <w:basedOn w:val="Normal"/>
    <w:uiPriority w:val="99"/>
    <w:rsid w:val="0054720F"/>
    <w:pPr>
      <w:widowControl w:val="0"/>
      <w:autoSpaceDE w:val="0"/>
      <w:autoSpaceDN w:val="0"/>
      <w:adjustRightInd w:val="0"/>
    </w:pPr>
    <w:rPr>
      <w:rFonts w:eastAsiaTheme="minorEastAsia"/>
      <w:sz w:val="20"/>
    </w:rPr>
  </w:style>
  <w:style w:type="character" w:customStyle="1" w:styleId="CharacterStyle2">
    <w:name w:val="Character Style 2"/>
    <w:uiPriority w:val="99"/>
    <w:rsid w:val="0054720F"/>
    <w:rPr>
      <w:sz w:val="20"/>
      <w:szCs w:val="20"/>
    </w:rPr>
  </w:style>
  <w:style w:type="paragraph" w:styleId="ListParagraph">
    <w:name w:val="List Paragraph"/>
    <w:basedOn w:val="Normal"/>
    <w:uiPriority w:val="34"/>
    <w:qFormat/>
    <w:rsid w:val="00725039"/>
    <w:pPr>
      <w:ind w:left="720"/>
      <w:contextualSpacing/>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725039"/>
    <w:rPr>
      <w:rFonts w:ascii="CG Times" w:hAnsi="CG Times"/>
      <w:sz w:val="18"/>
      <w:lang w:val="es-ES"/>
    </w:rPr>
  </w:style>
  <w:style w:type="character" w:styleId="UnresolvedMention">
    <w:name w:val="Unresolved Mention"/>
    <w:basedOn w:val="DefaultParagraphFont"/>
    <w:uiPriority w:val="99"/>
    <w:semiHidden/>
    <w:unhideWhenUsed/>
    <w:rsid w:val="008F3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874368">
      <w:bodyDiv w:val="1"/>
      <w:marLeft w:val="0"/>
      <w:marRight w:val="0"/>
      <w:marTop w:val="0"/>
      <w:marBottom w:val="0"/>
      <w:divBdr>
        <w:top w:val="none" w:sz="0" w:space="0" w:color="auto"/>
        <w:left w:val="none" w:sz="0" w:space="0" w:color="auto"/>
        <w:bottom w:val="none" w:sz="0" w:space="0" w:color="auto"/>
        <w:right w:val="none" w:sz="0" w:space="0" w:color="auto"/>
      </w:divBdr>
    </w:div>
    <w:div w:id="1634866260">
      <w:bodyDiv w:val="1"/>
      <w:marLeft w:val="0"/>
      <w:marRight w:val="0"/>
      <w:marTop w:val="0"/>
      <w:marBottom w:val="0"/>
      <w:divBdr>
        <w:top w:val="none" w:sz="0" w:space="0" w:color="auto"/>
        <w:left w:val="none" w:sz="0" w:space="0" w:color="auto"/>
        <w:bottom w:val="none" w:sz="0" w:space="0" w:color="auto"/>
        <w:right w:val="none" w:sz="0" w:space="0" w:color="auto"/>
      </w:divBdr>
    </w:div>
    <w:div w:id="1827818057">
      <w:bodyDiv w:val="1"/>
      <w:marLeft w:val="0"/>
      <w:marRight w:val="0"/>
      <w:marTop w:val="0"/>
      <w:marBottom w:val="0"/>
      <w:divBdr>
        <w:top w:val="none" w:sz="0" w:space="0" w:color="auto"/>
        <w:left w:val="none" w:sz="0" w:space="0" w:color="auto"/>
        <w:bottom w:val="none" w:sz="0" w:space="0" w:color="auto"/>
        <w:right w:val="none" w:sz="0" w:space="0" w:color="auto"/>
      </w:divBdr>
    </w:div>
    <w:div w:id="18953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SPANISH/HIST_21/AG08458T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INFORME DEL SECRETARIO GENERAL SOBRE</vt:lpstr>
    </vt:vector>
  </TitlesOfParts>
  <Company>OAS</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SECRETARIO GENERAL SOBRE</dc:title>
  <dc:subject/>
  <dc:creator>Estela Diaz-Avalos</dc:creator>
  <cp:keywords/>
  <cp:lastModifiedBy>Mayorga, Georgina</cp:lastModifiedBy>
  <cp:revision>3</cp:revision>
  <dcterms:created xsi:type="dcterms:W3CDTF">2021-12-01T16:59:00Z</dcterms:created>
  <dcterms:modified xsi:type="dcterms:W3CDTF">2021-12-01T17:02:00Z</dcterms:modified>
</cp:coreProperties>
</file>